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74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№ </w:t>
      </w:r>
      <w:r>
        <w:rPr>
          <w:rFonts w:ascii="Times New Roman" w:hAnsi="Times New Roman"/>
          <w:sz w:val="28"/>
          <w:szCs w:val="28"/>
        </w:rPr>
        <w:t xml:space="preserve">8</w:t>
      </w:r>
      <w:r>
        <w:rPr>
          <w:rFonts w:ascii="Times New Roman" w:hAnsi="Times New Roman"/>
          <w:sz w:val="28"/>
          <w:szCs w:val="28"/>
        </w:rPr>
      </w:r>
    </w:p>
    <w:p>
      <w:pPr>
        <w:pStyle w:val="874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</w:t>
      </w:r>
      <w:r>
        <w:rPr>
          <w:rFonts w:ascii="Times New Roman" w:hAnsi="Times New Roman"/>
          <w:sz w:val="28"/>
          <w:szCs w:val="28"/>
        </w:rPr>
        <w:t xml:space="preserve"> приказу от 25.12.2025</w:t>
      </w:r>
      <w:r>
        <w:rPr>
          <w:rFonts w:ascii="Times New Roman" w:hAnsi="Times New Roman"/>
          <w:sz w:val="28"/>
          <w:szCs w:val="28"/>
        </w:rPr>
        <w:t xml:space="preserve"> № 211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7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</w:p>
    <w:p>
      <w:pPr>
        <w:pStyle w:val="87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Порядок проведения инвентаризации активов и обязательств организации</w:t>
      </w:r>
      <w:r>
        <w:rPr>
          <w:rFonts w:ascii="Times New Roman" w:hAnsi="Times New Roman"/>
          <w:b/>
          <w:sz w:val="28"/>
          <w:szCs w:val="28"/>
        </w:rPr>
        <w:t xml:space="preserve">.</w:t>
      </w: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</w:p>
    <w:p>
      <w:pPr>
        <w:pStyle w:val="87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</w:p>
    <w:p>
      <w:pPr>
        <w:pStyle w:val="87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 xml:space="preserve">Настоящий Порядок разработан в соответствии со следующими документами:</w:t>
      </w: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</w:p>
    <w:p>
      <w:pPr>
        <w:pStyle w:val="874"/>
        <w:numPr>
          <w:ilvl w:val="0"/>
          <w:numId w:val="6"/>
        </w:numPr>
        <w:contextualSpacing/>
        <w:ind w:left="780" w:right="180"/>
        <w:jc w:val="both"/>
        <w:spacing w:before="100" w:beforeAutospacing="1" w:after="100" w:afterAutospacing="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Законом от 06.12.2011 № 402-ФЗ «О бухгалтерском учете»;</w:t>
      </w: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</w:p>
    <w:p>
      <w:pPr>
        <w:pStyle w:val="874"/>
        <w:numPr>
          <w:ilvl w:val="0"/>
          <w:numId w:val="6"/>
        </w:numPr>
        <w:contextualSpacing/>
        <w:ind w:left="780" w:right="180"/>
        <w:jc w:val="both"/>
        <w:spacing w:before="100" w:beforeAutospacing="1" w:after="100" w:afterAutospacing="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Федеральным стандартом «Концептуальные основы бухгалтерского учета и отчетности организаций государственного сектора», утвержденным приказом Минфина от 31.12.2016 № 256н;</w:t>
      </w: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</w:p>
    <w:p>
      <w:pPr>
        <w:pStyle w:val="874"/>
        <w:numPr>
          <w:ilvl w:val="0"/>
          <w:numId w:val="6"/>
        </w:numPr>
        <w:contextualSpacing/>
        <w:ind w:left="780" w:right="180"/>
        <w:jc w:val="both"/>
        <w:spacing w:before="100" w:beforeAutospacing="1" w:after="100" w:afterAutospacing="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Федеральным стандартом «Доходы», утвержденным приказом Минфина от 27.02.2018 32н;</w:t>
      </w: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</w:p>
    <w:p>
      <w:pPr>
        <w:pStyle w:val="874"/>
        <w:numPr>
          <w:ilvl w:val="0"/>
          <w:numId w:val="6"/>
        </w:numPr>
        <w:contextualSpacing/>
        <w:ind w:left="780" w:right="180"/>
        <w:jc w:val="both"/>
        <w:spacing w:before="100" w:beforeAutospacing="1" w:after="100" w:afterAutospacing="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Федеральным стандартом «Учетная политика, оценочные значения и ошибки», утвержденным приказом Минфина от 30.12.2017 № 274н;</w:t>
      </w: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</w:p>
    <w:p>
      <w:pPr>
        <w:pStyle w:val="874"/>
        <w:numPr>
          <w:ilvl w:val="0"/>
          <w:numId w:val="6"/>
        </w:numPr>
        <w:contextualSpacing/>
        <w:ind w:left="780" w:right="180"/>
        <w:jc w:val="both"/>
        <w:spacing w:before="100" w:beforeAutospacing="1" w:after="100" w:afterAutospacing="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указанием ЦБ от 11.03.2014 № 3210-У «О порядке ведения кассовых операций юридическими лицами...»;</w:t>
      </w: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</w:p>
    <w:p>
      <w:pPr>
        <w:pStyle w:val="874"/>
        <w:numPr>
          <w:ilvl w:val="0"/>
          <w:numId w:val="6"/>
        </w:numPr>
        <w:contextualSpacing/>
        <w:ind w:left="780" w:right="180"/>
        <w:jc w:val="both"/>
        <w:spacing w:before="100" w:beforeAutospacing="1" w:after="100" w:afterAutospacing="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Методическими указаниями по первичным документам и регистрам, утвержденными приказом Минфина от 30.03.2015 № 52н;</w:t>
      </w: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</w:p>
    <w:p>
      <w:pPr>
        <w:pStyle w:val="874"/>
        <w:numPr>
          <w:ilvl w:val="0"/>
          <w:numId w:val="6"/>
        </w:numPr>
        <w:contextualSpacing/>
        <w:ind w:left="780" w:right="180"/>
        <w:jc w:val="both"/>
        <w:spacing w:before="100" w:beforeAutospacing="1" w:after="100" w:afterAutospacing="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Методическими указаниями по первичным документам и регистрам, утвержденными приказом Минфина от 15.04.2021 № 61н;</w:t>
      </w: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</w:p>
    <w:p>
      <w:pPr>
        <w:pStyle w:val="874"/>
        <w:numPr>
          <w:ilvl w:val="0"/>
          <w:numId w:val="6"/>
        </w:numPr>
        <w:ind w:left="780" w:right="180"/>
        <w:jc w:val="both"/>
        <w:spacing w:before="100" w:beforeAutospacing="1" w:after="100" w:afterAutospacing="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Правилами учета и хранения драгоценных металлов, камней и изделий, утвержденными постановлением Правительства от 28.09.2000 № 731.</w:t>
      </w: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</w:p>
    <w:p>
      <w:pPr>
        <w:pStyle w:val="874"/>
        <w:jc w:val="center"/>
        <w:rPr>
          <w:rFonts w:ascii="Times New Roman" w:hAnsi="Times New Roman"/>
          <w:b/>
          <w:bCs/>
          <w:color w:val="252525"/>
          <w:spacing w:val="-2"/>
          <w:sz w:val="28"/>
          <w:szCs w:val="28"/>
        </w:rPr>
      </w:pPr>
      <w:r>
        <w:rPr>
          <w:rFonts w:ascii="Times New Roman" w:hAnsi="Times New Roman"/>
          <w:b/>
          <w:bCs/>
          <w:color w:val="252525"/>
          <w:spacing w:val="-2"/>
          <w:sz w:val="28"/>
          <w:szCs w:val="28"/>
        </w:rPr>
        <w:t xml:space="preserve">1. Общие положения</w:t>
      </w:r>
      <w:r>
        <w:rPr>
          <w:rFonts w:ascii="Times New Roman" w:hAnsi="Times New Roman"/>
          <w:b/>
          <w:bCs/>
          <w:color w:val="252525"/>
          <w:spacing w:val="-2"/>
          <w:sz w:val="28"/>
          <w:szCs w:val="28"/>
        </w:rPr>
      </w:r>
      <w:r>
        <w:rPr>
          <w:rFonts w:ascii="Times New Roman" w:hAnsi="Times New Roman"/>
          <w:b/>
          <w:bCs/>
          <w:color w:val="252525"/>
          <w:spacing w:val="-2"/>
          <w:sz w:val="28"/>
          <w:szCs w:val="28"/>
        </w:rPr>
      </w:r>
    </w:p>
    <w:p>
      <w:pPr>
        <w:pStyle w:val="87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1.1.</w:t>
      </w:r>
      <w:r>
        <w:rPr>
          <w:rFonts w:ascii="Times New Roman" w:hAnsi="Times New Roman"/>
          <w:color w:val="000000"/>
          <w:sz w:val="28"/>
          <w:szCs w:val="28"/>
        </w:rPr>
        <w:t xml:space="preserve"> Настоящий Порядок устанавливает правила проведения инвентаризации имущества, финансовых активов и обязательств учреждения, в том числе на забалансовых счетах, сроки ее проведения, перечень активов и обязательств, проверяемых при проведении инвентаризации.</w:t>
      </w: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</w:p>
    <w:p>
      <w:pPr>
        <w:pStyle w:val="87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1.2. Инвентаризации подлежит все имущество учреждения независимо от его</w:t>
      </w:r>
      <w:r>
        <w:rPr>
          <w:rFonts w:ascii="Times New Roman" w:hAnsi="Times New Roman"/>
          <w:sz w:val="28"/>
          <w:szCs w:val="28"/>
        </w:rPr>
        <w:br w:type="textWrapping" w:clear="all"/>
      </w:r>
      <w:r>
        <w:rPr>
          <w:rFonts w:ascii="Times New Roman" w:hAnsi="Times New Roman"/>
          <w:color w:val="000000"/>
          <w:sz w:val="28"/>
          <w:szCs w:val="28"/>
        </w:rPr>
        <w:t xml:space="preserve">местонахождения и все виды финансовых активов и обязательств учреждения, в том числе  на забалансовых счетах. Также инвентаризации подлежит имущество, находящееся на ответственном хранении учреждения.</w:t>
      </w: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</w:p>
    <w:p>
      <w:pPr>
        <w:pStyle w:val="87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 xml:space="preserve">Инвентаризация имущества производится по его местонахождению и в разрезе ответственных (материально ответственных) лиц, далее – ответственные лица.</w:t>
      </w: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</w:p>
    <w:p>
      <w:pPr>
        <w:pStyle w:val="87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1.3. Учреждение проводит инвентаризацию:</w:t>
      </w: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</w:p>
    <w:p>
      <w:pPr>
        <w:pStyle w:val="874"/>
        <w:numPr>
          <w:ilvl w:val="0"/>
          <w:numId w:val="7"/>
        </w:numPr>
        <w:contextualSpacing/>
        <w:ind w:left="780" w:right="180"/>
        <w:jc w:val="both"/>
        <w:spacing w:before="100" w:beforeAutospacing="1" w:after="100" w:afterAutospacing="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в случаях, установленных в пунктах 31 и 32 приложения № 1 к СГС «Учетная политика, оценочные значения и ошибки» – обязательная инвентаризация;</w:t>
      </w: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</w:p>
    <w:p>
      <w:pPr>
        <w:pStyle w:val="874"/>
        <w:numPr>
          <w:ilvl w:val="0"/>
          <w:numId w:val="7"/>
        </w:numPr>
        <w:contextualSpacing/>
        <w:ind w:left="780" w:right="180"/>
        <w:jc w:val="both"/>
        <w:spacing w:before="100" w:beforeAutospacing="1" w:after="100" w:afterAutospacing="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ежемесячно – в кассе на каждое 1-е число календарного месяца и смене материально-ответственных лиц;</w:t>
      </w: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</w:p>
    <w:p>
      <w:pPr>
        <w:pStyle w:val="874"/>
        <w:numPr>
          <w:ilvl w:val="0"/>
          <w:numId w:val="7"/>
        </w:numPr>
        <w:ind w:left="780" w:right="180"/>
        <w:jc w:val="both"/>
        <w:spacing w:before="100" w:beforeAutospacing="1" w:after="100" w:afterAutospacing="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в других случаях по решению о проведении инвентаризации </w:t>
      </w:r>
      <w:r>
        <w:rPr>
          <w:rFonts w:ascii="Times New Roman" w:hAnsi="Times New Roman"/>
          <w:color w:val="000000"/>
          <w:sz w:val="28"/>
          <w:szCs w:val="28"/>
        </w:rPr>
        <w:t xml:space="preserve">            </w:t>
      </w:r>
      <w:r>
        <w:rPr>
          <w:rFonts w:ascii="Times New Roman" w:hAnsi="Times New Roman"/>
          <w:color w:val="000000"/>
          <w:sz w:val="28"/>
          <w:szCs w:val="28"/>
        </w:rPr>
        <w:t xml:space="preserve">(ф. 0510439).</w:t>
      </w: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</w:p>
    <w:p>
      <w:pPr>
        <w:pStyle w:val="87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1.</w:t>
      </w:r>
      <w:r>
        <w:rPr>
          <w:rFonts w:ascii="Times New Roman" w:hAnsi="Times New Roman"/>
          <w:color w:val="000000"/>
          <w:sz w:val="28"/>
          <w:szCs w:val="28"/>
        </w:rPr>
        <w:t xml:space="preserve">4</w:t>
      </w:r>
      <w:r>
        <w:rPr>
          <w:rFonts w:ascii="Times New Roman" w:hAnsi="Times New Roman"/>
          <w:color w:val="000000"/>
          <w:sz w:val="28"/>
          <w:szCs w:val="28"/>
        </w:rPr>
        <w:t xml:space="preserve">. Имущество, которое поступило во время инвентар</w:t>
      </w:r>
      <w:r>
        <w:rPr>
          <w:rFonts w:ascii="Times New Roman" w:hAnsi="Times New Roman"/>
          <w:color w:val="000000"/>
          <w:sz w:val="28"/>
          <w:szCs w:val="28"/>
        </w:rPr>
        <w:t xml:space="preserve">изации, принимают ответственные лица в присутствии членов инвентаризационной комиссии и заносят его в отдельную инвентаризационную опись. В акт о результатах инвентаризации такое имущество не включается. Описи прилагают к акту о результатах инвентаризации.</w:t>
      </w: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</w:p>
    <w:p>
      <w:pPr>
        <w:pStyle w:val="87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1.</w:t>
      </w:r>
      <w:r>
        <w:rPr>
          <w:rFonts w:ascii="Times New Roman" w:hAnsi="Times New Roman"/>
          <w:color w:val="000000"/>
          <w:sz w:val="28"/>
          <w:szCs w:val="28"/>
        </w:rPr>
        <w:t xml:space="preserve">5</w:t>
      </w:r>
      <w:r>
        <w:rPr>
          <w:rFonts w:ascii="Times New Roman" w:hAnsi="Times New Roman"/>
          <w:color w:val="000000"/>
          <w:sz w:val="28"/>
          <w:szCs w:val="28"/>
        </w:rPr>
        <w:t xml:space="preserve">. Инвентаризация проводится методами осмотра, подсчета, взвешивания,  обмера, (далее – методы осмотра).</w:t>
      </w: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</w:p>
    <w:p>
      <w:pPr>
        <w:pStyle w:val="87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 xml:space="preserve">В слу</w:t>
      </w:r>
      <w:r>
        <w:rPr>
          <w:rFonts w:ascii="Times New Roman" w:hAnsi="Times New Roman"/>
          <w:color w:val="000000"/>
          <w:sz w:val="28"/>
          <w:szCs w:val="28"/>
        </w:rPr>
        <w:t xml:space="preserve">чаях, когда применение методов осмотра для выявления фактического наличия объектов инвентаризации невозможно или не представляется возможным без существенных затрат,  учреждение использует альтернативные способы (методы) инвентаризации (далее – методы подт</w:t>
      </w:r>
      <w:r>
        <w:rPr>
          <w:rFonts w:ascii="Times New Roman" w:hAnsi="Times New Roman"/>
          <w:color w:val="000000"/>
          <w:sz w:val="28"/>
          <w:szCs w:val="28"/>
        </w:rPr>
        <w:t xml:space="preserve">верждения, выверки</w:t>
      </w:r>
      <w:r>
        <w:rPr>
          <w:rFonts w:ascii="Times New Roman" w:hAnsi="Times New Roman"/>
          <w:color w:val="000000"/>
          <w:sz w:val="28"/>
          <w:szCs w:val="28"/>
        </w:rPr>
        <w:t xml:space="preserve">:</w:t>
      </w: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</w:p>
    <w:p>
      <w:pPr>
        <w:pStyle w:val="87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1</w:t>
      </w:r>
      <w:r>
        <w:rPr>
          <w:rFonts w:ascii="Times New Roman" w:hAnsi="Times New Roman"/>
          <w:color w:val="000000"/>
          <w:sz w:val="28"/>
          <w:szCs w:val="28"/>
        </w:rPr>
        <w:t xml:space="preserve">) фиксация (актирование), в том числе:</w:t>
      </w: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</w:p>
    <w:p>
      <w:pPr>
        <w:pStyle w:val="874"/>
        <w:numPr>
          <w:ilvl w:val="0"/>
          <w:numId w:val="8"/>
        </w:numPr>
        <w:contextualSpacing/>
        <w:ind w:left="780" w:right="180"/>
        <w:jc w:val="both"/>
        <w:spacing w:before="100" w:beforeAutospacing="1" w:after="100" w:afterAutospacing="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факта осуществления объектом соответствующей функции;</w:t>
      </w: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</w:p>
    <w:p>
      <w:pPr>
        <w:pStyle w:val="874"/>
        <w:numPr>
          <w:ilvl w:val="0"/>
          <w:numId w:val="8"/>
        </w:numPr>
        <w:contextualSpacing/>
        <w:ind w:left="780" w:right="180"/>
        <w:jc w:val="both"/>
        <w:spacing w:before="100" w:beforeAutospacing="1" w:after="100" w:afterAutospacing="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поступления экономических выгод;</w:t>
      </w: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</w:p>
    <w:p>
      <w:pPr>
        <w:pStyle w:val="874"/>
        <w:numPr>
          <w:ilvl w:val="0"/>
          <w:numId w:val="8"/>
        </w:numPr>
        <w:contextualSpacing/>
        <w:ind w:left="780" w:right="180"/>
        <w:jc w:val="both"/>
        <w:spacing w:before="100" w:beforeAutospacing="1" w:after="100" w:afterAutospacing="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использования полезного потенциала;</w:t>
      </w: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</w:p>
    <w:p>
      <w:pPr>
        <w:pStyle w:val="874"/>
        <w:numPr>
          <w:ilvl w:val="0"/>
          <w:numId w:val="8"/>
        </w:numPr>
        <w:ind w:left="780" w:right="180"/>
        <w:jc w:val="both"/>
        <w:spacing w:before="100" w:beforeAutospacing="1" w:after="100" w:afterAutospacing="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п</w:t>
      </w:r>
      <w:r>
        <w:rPr>
          <w:rFonts w:ascii="Times New Roman" w:hAnsi="Times New Roman"/>
          <w:color w:val="000000"/>
          <w:sz w:val="28"/>
          <w:szCs w:val="28"/>
        </w:rPr>
        <w:t xml:space="preserve">одтверждение наличия (обоснованности владения) данными государственных (муниципальных) реестров (информационных ресурсов), содержащих информацию об объекте инвентаризации посредством запросов или средствами технологической интеграции информационных систем.</w:t>
      </w: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</w:p>
    <w:p>
      <w:pPr>
        <w:pStyle w:val="87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 xml:space="preserve">Замеры и установленные факты оформляются актами, которые вместе с расчетами прилагаются к документам, оформляющим результаты инвентаризации.</w:t>
      </w: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</w:p>
    <w:p>
      <w:pPr>
        <w:pStyle w:val="87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 xml:space="preserve">Инвентаризацию методом подтверждения, выверк</w:t>
      </w:r>
      <w:r>
        <w:rPr>
          <w:rFonts w:ascii="Times New Roman" w:hAnsi="Times New Roman"/>
          <w:color w:val="000000"/>
          <w:sz w:val="28"/>
          <w:szCs w:val="28"/>
        </w:rPr>
        <w:t xml:space="preserve">и</w:t>
      </w:r>
      <w:r>
        <w:rPr>
          <w:rFonts w:ascii="Times New Roman" w:hAnsi="Times New Roman"/>
          <w:color w:val="000000"/>
          <w:sz w:val="28"/>
          <w:szCs w:val="28"/>
        </w:rPr>
        <w:t xml:space="preserve">, а также методом расчетов допустимо проводить по решению руководителя на дату, предшествующую дате принятия решения о проведении инвентаризации.</w:t>
      </w: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</w:p>
    <w:p>
      <w:pPr>
        <w:pStyle w:val="874"/>
        <w:jc w:val="center"/>
        <w:rPr>
          <w:rFonts w:ascii="Times New Roman" w:hAnsi="Times New Roman"/>
          <w:b/>
          <w:bCs/>
          <w:color w:val="252525"/>
          <w:spacing w:val="-2"/>
          <w:sz w:val="28"/>
          <w:szCs w:val="28"/>
        </w:rPr>
      </w:pPr>
      <w:r>
        <w:rPr>
          <w:rFonts w:ascii="Times New Roman" w:hAnsi="Times New Roman"/>
          <w:b/>
          <w:bCs/>
          <w:color w:val="252525"/>
          <w:spacing w:val="-2"/>
          <w:sz w:val="28"/>
          <w:szCs w:val="28"/>
        </w:rPr>
        <w:t xml:space="preserve">2. Общий порядок и сроки проведения инвентаризации</w:t>
      </w:r>
      <w:r>
        <w:rPr>
          <w:rFonts w:ascii="Times New Roman" w:hAnsi="Times New Roman"/>
          <w:b/>
          <w:bCs/>
          <w:color w:val="252525"/>
          <w:spacing w:val="-2"/>
          <w:sz w:val="28"/>
          <w:szCs w:val="28"/>
        </w:rPr>
      </w:r>
      <w:r>
        <w:rPr>
          <w:rFonts w:ascii="Times New Roman" w:hAnsi="Times New Roman"/>
          <w:b/>
          <w:bCs/>
          <w:color w:val="252525"/>
          <w:spacing w:val="-2"/>
          <w:sz w:val="28"/>
          <w:szCs w:val="28"/>
        </w:rPr>
      </w:r>
    </w:p>
    <w:p>
      <w:pPr>
        <w:pStyle w:val="87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2.1. Для проведения инвентаризации в учреждении создается постоянно действующая инвентаризационная комиссия.</w:t>
      </w: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</w:p>
    <w:p>
      <w:pPr>
        <w:pStyle w:val="87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 xml:space="preserve">При большом объеме работ для одновременного проведения инвентаризации имущества создаются рабочие инвентаризационные комиссии. Персональный состав постоянно действующих и рабочих инвентаризационных комиссий утверждает руководитель учреждения.</w:t>
      </w: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</w:p>
    <w:p>
      <w:pPr>
        <w:pStyle w:val="87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 xml:space="preserve">В состав инвентаризационной комиссии включают представителей администрации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учреждения, сотрудников бухгалтерии, других специалистов.</w:t>
      </w: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</w:p>
    <w:p>
      <w:pPr>
        <w:pStyle w:val="87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2.2. Инвентаризационная комиссия выполняет следующие функции:</w:t>
      </w: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</w:p>
    <w:p>
      <w:pPr>
        <w:pStyle w:val="874"/>
        <w:numPr>
          <w:ilvl w:val="0"/>
          <w:numId w:val="9"/>
        </w:numPr>
        <w:contextualSpacing/>
        <w:ind w:left="780" w:right="180"/>
        <w:jc w:val="both"/>
        <w:spacing w:before="100" w:beforeAutospacing="1" w:after="100" w:afterAutospacing="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проверка фактического наличия имущества, как собственного, так и не принадлежащего учреждению, но числящегося в бухгалтерском учете;</w:t>
      </w: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</w:p>
    <w:p>
      <w:pPr>
        <w:pStyle w:val="874"/>
        <w:numPr>
          <w:ilvl w:val="0"/>
          <w:numId w:val="9"/>
        </w:numPr>
        <w:contextualSpacing/>
        <w:ind w:left="780" w:right="180"/>
        <w:jc w:val="both"/>
        <w:spacing w:before="100" w:beforeAutospacing="1" w:after="100" w:afterAutospacing="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проверка соблюдения правил содержания и эксплуатации основных средств, использования нематериальных активов, а также правил и условий хранения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материальных запасов, денежных средств;</w:t>
      </w: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</w:p>
    <w:p>
      <w:pPr>
        <w:pStyle w:val="874"/>
        <w:numPr>
          <w:ilvl w:val="0"/>
          <w:numId w:val="9"/>
        </w:numPr>
        <w:contextualSpacing/>
        <w:ind w:left="780" w:right="180"/>
        <w:jc w:val="both"/>
        <w:spacing w:before="100" w:beforeAutospacing="1" w:after="100" w:afterAutospacing="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определение состояния имущества и его назначения;</w:t>
      </w: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</w:p>
    <w:p>
      <w:pPr>
        <w:pStyle w:val="874"/>
        <w:numPr>
          <w:ilvl w:val="0"/>
          <w:numId w:val="9"/>
        </w:numPr>
        <w:contextualSpacing/>
        <w:ind w:left="780" w:right="180"/>
        <w:jc w:val="both"/>
        <w:spacing w:before="100" w:beforeAutospacing="1" w:after="100" w:afterAutospacing="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выявление признаков обесценения активов;</w:t>
      </w: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</w:p>
    <w:p>
      <w:pPr>
        <w:pStyle w:val="874"/>
        <w:numPr>
          <w:ilvl w:val="0"/>
          <w:numId w:val="9"/>
        </w:numPr>
        <w:contextualSpacing/>
        <w:ind w:left="780" w:right="180"/>
        <w:jc w:val="both"/>
        <w:spacing w:before="100" w:beforeAutospacing="1" w:after="100" w:afterAutospacing="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сопоставление данных бухгалтерского учета с фактическим наличием имущества, с выписками из счетов, с данными актов сверок;</w:t>
      </w: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</w:p>
    <w:p>
      <w:pPr>
        <w:pStyle w:val="874"/>
        <w:numPr>
          <w:ilvl w:val="0"/>
          <w:numId w:val="9"/>
        </w:numPr>
        <w:contextualSpacing/>
        <w:ind w:left="780" w:right="180"/>
        <w:jc w:val="both"/>
        <w:spacing w:before="100" w:beforeAutospacing="1" w:after="100" w:afterAutospacing="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проверка правильности расчета и обоснованности создания резервов, достоверности расходов будущих периодов;</w:t>
      </w: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</w:p>
    <w:p>
      <w:pPr>
        <w:pStyle w:val="874"/>
        <w:numPr>
          <w:ilvl w:val="0"/>
          <w:numId w:val="9"/>
        </w:numPr>
        <w:contextualSpacing/>
        <w:ind w:left="780" w:right="180"/>
        <w:jc w:val="both"/>
        <w:spacing w:before="100" w:beforeAutospacing="1" w:after="100" w:afterAutospacing="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проверка документации на активы и обязательства;</w:t>
      </w: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</w:p>
    <w:p>
      <w:pPr>
        <w:pStyle w:val="874"/>
        <w:numPr>
          <w:ilvl w:val="0"/>
          <w:numId w:val="9"/>
        </w:numPr>
        <w:contextualSpacing/>
        <w:ind w:left="780" w:right="180"/>
        <w:jc w:val="both"/>
        <w:spacing w:before="100" w:beforeAutospacing="1" w:after="100" w:afterAutospacing="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выявление дебиторской задолженности, безнадежной к взысканию и сомнительной, подготовка предложений о списании такой задолженности;</w:t>
      </w: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</w:p>
    <w:p>
      <w:pPr>
        <w:pStyle w:val="874"/>
        <w:numPr>
          <w:ilvl w:val="0"/>
          <w:numId w:val="9"/>
        </w:numPr>
        <w:contextualSpacing/>
        <w:ind w:left="780" w:right="180"/>
        <w:jc w:val="both"/>
        <w:spacing w:before="100" w:beforeAutospacing="1" w:after="100" w:afterAutospacing="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выявление кредиторской задолженности, не востребованной кредиторами, подготовка предложений о списании такой задолженности;</w:t>
      </w: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</w:p>
    <w:p>
      <w:pPr>
        <w:pStyle w:val="874"/>
        <w:numPr>
          <w:ilvl w:val="0"/>
          <w:numId w:val="9"/>
        </w:numPr>
        <w:contextualSpacing/>
        <w:ind w:left="780" w:right="180"/>
        <w:jc w:val="both"/>
        <w:spacing w:before="100" w:beforeAutospacing="1" w:after="100" w:afterAutospacing="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составление инвентаризационных описей, в которых указываются все объекты инвентаризации, их количество, статус и целевая функция;</w:t>
      </w: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</w:p>
    <w:p>
      <w:pPr>
        <w:pStyle w:val="874"/>
        <w:numPr>
          <w:ilvl w:val="0"/>
          <w:numId w:val="9"/>
        </w:numPr>
        <w:contextualSpacing/>
        <w:ind w:left="780" w:right="180"/>
        <w:jc w:val="both"/>
        <w:spacing w:before="100" w:beforeAutospacing="1" w:after="100" w:afterAutospacing="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составление ведомости по расхождениям, если они обнаружены, а также выявление причин таких отклонений;</w:t>
      </w: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</w:p>
    <w:p>
      <w:pPr>
        <w:pStyle w:val="874"/>
        <w:numPr>
          <w:ilvl w:val="0"/>
          <w:numId w:val="9"/>
        </w:numPr>
        <w:contextualSpacing/>
        <w:ind w:left="780" w:right="180"/>
        <w:jc w:val="both"/>
        <w:spacing w:before="100" w:beforeAutospacing="1" w:after="100" w:afterAutospacing="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оформление протоколов заседания инвентаризационной комиссии;</w:t>
      </w: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</w:p>
    <w:p>
      <w:pPr>
        <w:pStyle w:val="874"/>
        <w:numPr>
          <w:ilvl w:val="0"/>
          <w:numId w:val="9"/>
        </w:numPr>
        <w:ind w:left="780" w:right="180"/>
        <w:jc w:val="both"/>
        <w:spacing w:before="100" w:beforeAutospacing="1" w:after="100" w:afterAutospacing="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подготовка предложений по изменению учета и устранению обстоятельств, которые повлекли неточности и ошибки.</w:t>
      </w: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</w:p>
    <w:p>
      <w:pPr>
        <w:pStyle w:val="87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 xml:space="preserve">Комиссия оценивает наличие:</w:t>
      </w: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</w:p>
    <w:p>
      <w:pPr>
        <w:pStyle w:val="87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а) обстоятельств, указывающих на необходимость принятия решения о списании имущества – при инвентаризации нефинансовых активов. В частности, оценивает физический и</w:t>
      </w:r>
      <w:r>
        <w:rPr>
          <w:rFonts w:ascii="Times New Roman" w:hAnsi="Times New Roman"/>
          <w:color w:val="000000"/>
          <w:sz w:val="28"/>
          <w:szCs w:val="28"/>
        </w:rPr>
        <w:t xml:space="preserve">ли моральный износ, нарушения условий содержания или эксплуатации, влияние на состояние имущества аварий, стихийных бедствий, иных чрезвычайных ситуаций, длительного неиспользования имущества или иных причин, которые привели к необходимости принятия решени</w:t>
      </w:r>
      <w:r>
        <w:rPr>
          <w:rFonts w:ascii="Times New Roman" w:hAnsi="Times New Roman"/>
          <w:color w:val="000000"/>
          <w:sz w:val="28"/>
          <w:szCs w:val="28"/>
        </w:rPr>
        <w:t xml:space="preserve">я о списании имущества. Одновременно комиссия рассматривает вопрос целесообразности дальнейшего использования имущества, возможности и эффективности его восстановления, возможности использования отдельных узлов, деталей, конструкций и материалов имущества;</w:t>
      </w: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</w:p>
    <w:p>
      <w:pPr>
        <w:pStyle w:val="87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б) оснований для возмещения недостачи или ущерба;</w:t>
      </w: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</w:p>
    <w:p>
      <w:pPr>
        <w:pStyle w:val="87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в) в отношении активов – фактов несоответствия актива критериям его признания в бухгалтерском учете;</w:t>
      </w: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</w:p>
    <w:p>
      <w:pPr>
        <w:pStyle w:val="87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г) обстоятельств, указывающих на правомерность признания просроченной дебиторской задолженности сомнительной или безнадежной к взысканию;</w:t>
      </w: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</w:p>
    <w:p>
      <w:pPr>
        <w:pStyle w:val="87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д) обязательств, не востребованных в течение срока исковой давности кредитором;</w:t>
      </w: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</w:p>
    <w:p>
      <w:pPr>
        <w:pStyle w:val="87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е) оснований для признания в учете выявленных излишков, для выбытия недостающих объектов с учета или корректировки бухгалтерских данных при пересортице. Основания для принятия к учету выявленных излишков выясняются</w:t>
      </w:r>
      <w:r>
        <w:rPr>
          <w:rFonts w:ascii="Times New Roman" w:hAnsi="Times New Roman"/>
          <w:color w:val="000000"/>
          <w:sz w:val="28"/>
          <w:szCs w:val="28"/>
        </w:rPr>
        <w:t xml:space="preserve"> в ходе проверки, целью которой является выявление причин излишков и их собственников. Такую проверку проводит инвентаризационная комиссия во время инвентаризации, либо комиссия по поступлению и выбытию активов на основании решения руководителя учреждения;</w:t>
      </w: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</w:p>
    <w:p>
      <w:pPr>
        <w:pStyle w:val="87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ж) оснований для обесценения, изменения стоимости объектов.</w:t>
      </w: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</w:p>
    <w:p>
      <w:pPr>
        <w:pStyle w:val="87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 xml:space="preserve">Детальные правила работы комиссии, ее права, ответственность и полномочия устанавлива</w:t>
      </w:r>
      <w:r>
        <w:rPr>
          <w:rFonts w:ascii="Times New Roman" w:hAnsi="Times New Roman"/>
          <w:color w:val="000000"/>
          <w:sz w:val="28"/>
          <w:szCs w:val="28"/>
        </w:rPr>
        <w:t xml:space="preserve">ются в отдельном локальном акте.</w:t>
      </w: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</w:p>
    <w:p>
      <w:pPr>
        <w:pStyle w:val="874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2.3. Инвентаризации подлежит имущество учреждения, вложения в него на счете 106.00 «Вложения в нефинансовые активы», а также следующие финансовые активы, обязательства и финансовые результаты:</w:t>
      </w:r>
      <w:r>
        <w:rPr>
          <w:rFonts w:ascii="Times New Roman" w:hAnsi="Times New Roman"/>
          <w:sz w:val="28"/>
          <w:szCs w:val="28"/>
        </w:rPr>
        <w:br w:type="textWrapping" w:clear="all"/>
      </w:r>
      <w:r>
        <w:rPr>
          <w:rFonts w:ascii="Times New Roman" w:hAnsi="Times New Roman"/>
          <w:color w:val="000000"/>
          <w:sz w:val="28"/>
          <w:szCs w:val="28"/>
        </w:rPr>
        <w:t xml:space="preserve">– денежные средства – счет Х.201.00.000;</w:t>
      </w:r>
      <w:r>
        <w:rPr>
          <w:rFonts w:ascii="Times New Roman" w:hAnsi="Times New Roman"/>
          <w:sz w:val="28"/>
          <w:szCs w:val="28"/>
        </w:rPr>
        <w:br w:type="textWrapping" w:clear="all"/>
      </w:r>
      <w:r>
        <w:rPr>
          <w:rFonts w:ascii="Times New Roman" w:hAnsi="Times New Roman"/>
          <w:color w:val="000000"/>
          <w:sz w:val="28"/>
          <w:szCs w:val="28"/>
        </w:rPr>
        <w:t xml:space="preserve">– расчеты по доходам – счет Х.205.00.000;</w:t>
      </w:r>
      <w:r>
        <w:rPr>
          <w:rFonts w:ascii="Times New Roman" w:hAnsi="Times New Roman"/>
          <w:sz w:val="28"/>
          <w:szCs w:val="28"/>
        </w:rPr>
        <w:br w:type="textWrapping" w:clear="all"/>
      </w:r>
      <w:r>
        <w:rPr>
          <w:rFonts w:ascii="Times New Roman" w:hAnsi="Times New Roman"/>
          <w:color w:val="000000"/>
          <w:sz w:val="28"/>
          <w:szCs w:val="28"/>
        </w:rPr>
        <w:t xml:space="preserve">– расчеты по выданным авансам – счет Х.206.00.000;</w:t>
      </w:r>
      <w:r>
        <w:rPr>
          <w:rFonts w:ascii="Times New Roman" w:hAnsi="Times New Roman"/>
          <w:sz w:val="28"/>
          <w:szCs w:val="28"/>
        </w:rPr>
        <w:br w:type="textWrapping" w:clear="all"/>
      </w:r>
      <w:r>
        <w:rPr>
          <w:rFonts w:ascii="Times New Roman" w:hAnsi="Times New Roman"/>
          <w:color w:val="000000"/>
          <w:sz w:val="28"/>
          <w:szCs w:val="28"/>
        </w:rPr>
        <w:t xml:space="preserve">– расчеты с подотчетными лицами – счет Х.208.00.000;</w:t>
      </w:r>
      <w:r>
        <w:rPr>
          <w:rFonts w:ascii="Times New Roman" w:hAnsi="Times New Roman"/>
          <w:sz w:val="28"/>
          <w:szCs w:val="28"/>
        </w:rPr>
        <w:br w:type="textWrapping" w:clear="all"/>
      </w:r>
      <w:r>
        <w:rPr>
          <w:rFonts w:ascii="Times New Roman" w:hAnsi="Times New Roman"/>
          <w:color w:val="000000"/>
          <w:sz w:val="28"/>
          <w:szCs w:val="28"/>
        </w:rPr>
        <w:t xml:space="preserve">– расчеты по ущербу имуществу и иным доходам – счет Х.209.00.000;</w:t>
      </w:r>
      <w:r>
        <w:rPr>
          <w:rFonts w:ascii="Times New Roman" w:hAnsi="Times New Roman"/>
          <w:sz w:val="28"/>
          <w:szCs w:val="28"/>
        </w:rPr>
        <w:br w:type="textWrapping" w:clear="all"/>
      </w:r>
      <w:r>
        <w:rPr>
          <w:rFonts w:ascii="Times New Roman" w:hAnsi="Times New Roman"/>
          <w:color w:val="000000"/>
          <w:sz w:val="28"/>
          <w:szCs w:val="28"/>
        </w:rPr>
        <w:t xml:space="preserve">– расчеты по принятым обязательствам – счет Х.302.00.000;</w:t>
      </w:r>
      <w:r>
        <w:rPr>
          <w:rFonts w:ascii="Times New Roman" w:hAnsi="Times New Roman"/>
          <w:sz w:val="28"/>
          <w:szCs w:val="28"/>
        </w:rPr>
        <w:br w:type="textWrapping" w:clear="all"/>
      </w:r>
      <w:r>
        <w:rPr>
          <w:rFonts w:ascii="Times New Roman" w:hAnsi="Times New Roman"/>
          <w:color w:val="000000"/>
          <w:sz w:val="28"/>
          <w:szCs w:val="28"/>
        </w:rPr>
        <w:t xml:space="preserve">– расчеты по платежам в бюджеты – счет Х.303.00.000;</w:t>
      </w:r>
      <w:r>
        <w:rPr>
          <w:rFonts w:ascii="Times New Roman" w:hAnsi="Times New Roman"/>
          <w:sz w:val="28"/>
          <w:szCs w:val="28"/>
        </w:rPr>
        <w:br w:type="textWrapping" w:clear="all"/>
      </w:r>
      <w:r>
        <w:rPr>
          <w:rFonts w:ascii="Times New Roman" w:hAnsi="Times New Roman"/>
          <w:color w:val="000000"/>
          <w:sz w:val="28"/>
          <w:szCs w:val="28"/>
        </w:rPr>
        <w:t xml:space="preserve">– прочие расчеты с кредиторами – счет Х.304.00.000;</w:t>
      </w:r>
      <w:r>
        <w:rPr>
          <w:rFonts w:ascii="Times New Roman" w:hAnsi="Times New Roman"/>
          <w:sz w:val="28"/>
          <w:szCs w:val="28"/>
        </w:rPr>
        <w:br w:type="textWrapping" w:clear="all"/>
      </w:r>
      <w:r>
        <w:rPr>
          <w:rFonts w:ascii="Times New Roman" w:hAnsi="Times New Roman"/>
          <w:color w:val="000000"/>
          <w:sz w:val="28"/>
          <w:szCs w:val="28"/>
        </w:rPr>
        <w:t xml:space="preserve">– расчеты с кредиторами по долговым обязательствам – счет Х.301.00.000;</w:t>
      </w:r>
      <w:r>
        <w:rPr>
          <w:rFonts w:ascii="Times New Roman" w:hAnsi="Times New Roman"/>
          <w:sz w:val="28"/>
          <w:szCs w:val="28"/>
        </w:rPr>
        <w:br w:type="textWrapping" w:clear="all"/>
      </w:r>
      <w:r>
        <w:rPr>
          <w:rFonts w:ascii="Times New Roman" w:hAnsi="Times New Roman"/>
          <w:color w:val="000000"/>
          <w:sz w:val="28"/>
          <w:szCs w:val="28"/>
        </w:rPr>
        <w:t xml:space="preserve">– доходы будущих периодов – счет Х.401.40.000;</w:t>
      </w:r>
      <w:r>
        <w:rPr>
          <w:rFonts w:ascii="Times New Roman" w:hAnsi="Times New Roman"/>
          <w:sz w:val="28"/>
          <w:szCs w:val="28"/>
        </w:rPr>
        <w:br w:type="textWrapping" w:clear="all"/>
      </w:r>
      <w:r>
        <w:rPr>
          <w:rFonts w:ascii="Times New Roman" w:hAnsi="Times New Roman"/>
          <w:color w:val="000000"/>
          <w:sz w:val="28"/>
          <w:szCs w:val="28"/>
        </w:rPr>
        <w:t xml:space="preserve">– расходы будущих периодов – счет Х.401.50.000;</w:t>
      </w:r>
      <w:r>
        <w:rPr>
          <w:rFonts w:ascii="Times New Roman" w:hAnsi="Times New Roman"/>
          <w:sz w:val="28"/>
          <w:szCs w:val="28"/>
        </w:rPr>
        <w:br w:type="textWrapping" w:clear="all"/>
      </w:r>
      <w:r>
        <w:rPr>
          <w:rFonts w:ascii="Times New Roman" w:hAnsi="Times New Roman"/>
          <w:color w:val="000000"/>
          <w:sz w:val="28"/>
          <w:szCs w:val="28"/>
        </w:rPr>
        <w:t xml:space="preserve">– резервы предстоящих расходов – счет Х.401.60.000.</w:t>
      </w: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</w:p>
    <w:p>
      <w:pPr>
        <w:pStyle w:val="87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2.4. Сроки проведения плановых инвентаризаций установлены в Графике проведения инвентаризации.</w:t>
      </w: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</w:p>
    <w:p>
      <w:pPr>
        <w:pStyle w:val="87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 xml:space="preserve">Кроме плановых инвентаризаций, учреждение может проводить внеплановые сплошные и выборочные инвентаризации товарно-материальных ценностей. Внеплановые инвентаризации проводятся на основании Решения о проведении инвентаризации (ф. 0510439).</w:t>
      </w: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</w:p>
    <w:p>
      <w:pPr>
        <w:pStyle w:val="87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2.5. До начала п</w:t>
      </w:r>
      <w:r>
        <w:rPr>
          <w:rFonts w:ascii="Times New Roman" w:hAnsi="Times New Roman"/>
          <w:color w:val="000000"/>
          <w:sz w:val="28"/>
          <w:szCs w:val="28"/>
        </w:rPr>
        <w:t xml:space="preserve">роверки фактического наличия имущества инвентаризационной комиссии надлежит получить приходные и расходные документы или отчеты о движении материальных ценностей и денежных средств, не сданные и не учтенные бухгалтерией на момент проведения инвентаризации.</w:t>
      </w: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</w:p>
    <w:p>
      <w:pPr>
        <w:pStyle w:val="87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 xml:space="preserve">Председатель инвентаризационной комиссии визирует все приходные и расходные документы, приложенные к реестрам (отчетам), с указанием «до инвентаризации на "___"» (дата). Это служит основанием для определения остатков имущества к началу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инвентаризации по учетным данным.</w:t>
      </w: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</w:p>
    <w:p>
      <w:pPr>
        <w:pStyle w:val="87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2.6. Ответственные лица дают расписки о том, что к началу инвентаризации все расходные и приходные документы на имущество сд</w:t>
      </w:r>
      <w:r>
        <w:rPr>
          <w:rFonts w:ascii="Times New Roman" w:hAnsi="Times New Roman"/>
          <w:color w:val="000000"/>
          <w:sz w:val="28"/>
          <w:szCs w:val="28"/>
        </w:rPr>
        <w:t xml:space="preserve">аны в бухгалтерию или переданы комиссии и все ценности, поступившие на их ответственность, оприходованы, а выбывшие – списаны в расход. Аналогичные расписки дают сотрудники, имеющие подотчетные суммы на приобретение или доверенности на получение имущества.</w:t>
      </w: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</w:p>
    <w:p>
      <w:pPr>
        <w:pStyle w:val="87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2.7. Фактическое наличие имущества при инвентаризации определяют путем осмотра, подсчета, взвешивания, обмера. Вес и объем навалочных и наливных материальных ценностей проверяется путем обмеров, замеров и технических расчетов.</w:t>
      </w: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</w:p>
    <w:p>
      <w:pPr>
        <w:pStyle w:val="87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 xml:space="preserve">Инвентаризация материальных ценностей, которые хранятся в неповрежденной у</w:t>
      </w:r>
      <w:r>
        <w:rPr>
          <w:rFonts w:ascii="Times New Roman" w:hAnsi="Times New Roman"/>
          <w:color w:val="000000"/>
          <w:sz w:val="28"/>
          <w:szCs w:val="28"/>
        </w:rPr>
        <w:t xml:space="preserve">паковке с информацией производителя о количестве товара внутри, проводится методом фиксации. Для этого вскрывается и пересчитывается содержимое части упаковок – 10 процентов от общего количества. Остальной подсчет ведется на основании данных производителя.</w:t>
      </w: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</w:p>
    <w:p>
      <w:pPr>
        <w:pStyle w:val="87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2.8. Проверка фактического наличия имущества производится при обязательном участии ответственных лиц.</w:t>
      </w: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</w:p>
    <w:p>
      <w:pPr>
        <w:pStyle w:val="874"/>
        <w:jc w:val="both"/>
        <w:rPr>
          <w:rFonts w:ascii="Times New Roman" w:hAnsi="Times New Roman"/>
          <w:color w:val="000000"/>
          <w:sz w:val="28"/>
          <w:szCs w:val="28"/>
          <w:highlight w:val="none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2.9. Для оформления инвентаризации комиссия применяет формы,</w:t>
      </w:r>
      <w:r>
        <w:rPr>
          <w:rFonts w:ascii="Times New Roman" w:hAnsi="Times New Roman"/>
          <w:sz w:val="28"/>
          <w:szCs w:val="28"/>
        </w:rPr>
        <w:br w:type="textWrapping" w:clear="all"/>
      </w:r>
      <w:r>
        <w:rPr>
          <w:rFonts w:ascii="Times New Roman" w:hAnsi="Times New Roman"/>
          <w:color w:val="000000"/>
          <w:sz w:val="28"/>
          <w:szCs w:val="28"/>
        </w:rPr>
        <w:t xml:space="preserve">утвержденные приказами Минфина от 15.04.2021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№ 61н.</w:t>
      </w:r>
      <w:r>
        <w:rPr>
          <w:rFonts w:ascii="Times New Roman" w:hAnsi="Times New Roman"/>
          <w:color w:val="000000"/>
          <w:sz w:val="28"/>
          <w:szCs w:val="28"/>
          <w:highlight w:val="none"/>
        </w:rPr>
      </w:r>
      <w:r>
        <w:rPr>
          <w:rFonts w:ascii="Times New Roman" w:hAnsi="Times New Roman"/>
          <w:color w:val="000000"/>
          <w:sz w:val="28"/>
          <w:szCs w:val="28"/>
          <w:highlight w:val="none"/>
        </w:rPr>
      </w:r>
    </w:p>
    <w:p>
      <w:pPr>
        <w:ind w:left="0" w:right="0" w:firstLine="708"/>
        <w:jc w:val="both"/>
        <w:shd w:val="clear" w:color="ffffff" w:fill="ffffff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</w:rPr>
        <w:t xml:space="preserve">Д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ля результатов инвентаризации расходов будущих периодов, доходов будущих периодов, резервов предстоящих платежей – акт инвентаризации расходов будущих периодов, 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</w:rPr>
        <w:t xml:space="preserve">утвержденный в составе неунифицированных документов учетной политики колледжа.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ind w:left="0" w:right="0" w:firstLine="0"/>
        <w:jc w:val="both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/>
          <w:color w:val="000000"/>
          <w:sz w:val="28"/>
          <w:szCs w:val="28"/>
          <w:highlight w:val="none"/>
        </w:rPr>
      </w:r>
      <w:r>
        <w:rPr>
          <w:rFonts w:ascii="Times New Roman" w:hAnsi="Times New Roman"/>
          <w:color w:val="000000"/>
          <w:sz w:val="28"/>
          <w:szCs w:val="28"/>
        </w:rPr>
        <w:t xml:space="preserve">2.10. Инвентаризационная комиссия обеспечивает полноту и точность внесения в описи данных о фактических остатках основных средств, нематериальных акти</w:t>
      </w:r>
      <w:r>
        <w:rPr>
          <w:rFonts w:ascii="Times New Roman" w:hAnsi="Times New Roman"/>
          <w:color w:val="000000"/>
          <w:sz w:val="28"/>
          <w:szCs w:val="28"/>
        </w:rPr>
        <w:t xml:space="preserve">вов, материальных запасов и другого имущества, денежных средств, финансовых активов и обязательств, правильность и своевременность оформления материалов инвентаризации. Также комиссия обеспечивает внесение в описи обнаруженных признаков обесценения актива.</w:t>
      </w:r>
      <w:r>
        <w:rPr>
          <w:rFonts w:ascii="Arial" w:hAnsi="Arial" w:eastAsia="Arial" w:cs="Arial"/>
          <w:sz w:val="21"/>
        </w:rPr>
      </w:r>
      <w:r/>
    </w:p>
    <w:p>
      <w:pPr>
        <w:pStyle w:val="87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2.11. Если инвентаризация проводится в течение нескольких дней, то помещения, где хранятся материальные ценности, при уходе инвента</w:t>
      </w:r>
      <w:r>
        <w:rPr>
          <w:rFonts w:ascii="Times New Roman" w:hAnsi="Times New Roman"/>
          <w:color w:val="000000"/>
          <w:sz w:val="28"/>
          <w:szCs w:val="28"/>
        </w:rPr>
        <w:t xml:space="preserve">ризационной комиссии должны быть опечатаны. Во время перерывов в работе инвентаризационных комиссий (в обеденный перерыв, в ночное время, по другим причинам) описи должны храниться в ящике (шкафу, сейфе) в закрытом помещении, где проводится инвентаризация.</w:t>
      </w: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</w:p>
    <w:p>
      <w:pPr>
        <w:pStyle w:val="87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2.12. Если ответственные лица обнаружат после инвентаризации ошибки в описях, они должны немедленно (до открытия склада, кладовой, секции и т. п.) заявить об этом председателю инвентаризационной комиссии.</w:t>
      </w: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</w:p>
    <w:p>
      <w:pPr>
        <w:pStyle w:val="874"/>
        <w:jc w:val="both"/>
        <w:rPr>
          <w:rFonts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 xml:space="preserve">Инвентаризационная комиссия осуществляет проверку указанных фактов и в случае их подтверждения производит исправление выявленных ошибок в установленном порядке</w:t>
      </w:r>
      <w:r>
        <w:rPr>
          <w:rFonts w:hAnsi="Times New Roman"/>
          <w:color w:val="000000"/>
          <w:sz w:val="24"/>
          <w:szCs w:val="24"/>
        </w:rPr>
        <w:t xml:space="preserve">.</w:t>
      </w:r>
      <w:r>
        <w:rPr>
          <w:rFonts w:hAnsi="Times New Roman"/>
          <w:color w:val="000000"/>
          <w:sz w:val="24"/>
          <w:szCs w:val="24"/>
        </w:rPr>
      </w:r>
      <w:r>
        <w:rPr>
          <w:rFonts w:hAnsi="Times New Roman"/>
          <w:color w:val="000000"/>
          <w:sz w:val="24"/>
          <w:szCs w:val="24"/>
        </w:rPr>
      </w:r>
    </w:p>
    <w:p>
      <w:pPr>
        <w:pStyle w:val="874"/>
        <w:jc w:val="center"/>
        <w:rPr>
          <w:rFonts w:ascii="Times New Roman" w:hAnsi="Times New Roman"/>
          <w:b/>
          <w:bCs/>
          <w:color w:val="252525"/>
          <w:spacing w:val="-2"/>
          <w:sz w:val="28"/>
          <w:szCs w:val="28"/>
        </w:rPr>
      </w:pPr>
      <w:r>
        <w:rPr>
          <w:rFonts w:ascii="Times New Roman" w:hAnsi="Times New Roman"/>
          <w:b/>
          <w:bCs/>
          <w:color w:val="252525"/>
          <w:spacing w:val="-2"/>
          <w:sz w:val="28"/>
          <w:szCs w:val="28"/>
        </w:rPr>
        <w:t xml:space="preserve">3. Особенности инвентаризации отдельных видов имущества, финансовых активов, обязательств и финансовых результатов</w:t>
      </w:r>
      <w:r>
        <w:rPr>
          <w:rFonts w:ascii="Times New Roman" w:hAnsi="Times New Roman"/>
          <w:b/>
          <w:bCs/>
          <w:color w:val="252525"/>
          <w:spacing w:val="-2"/>
          <w:sz w:val="28"/>
          <w:szCs w:val="28"/>
        </w:rPr>
      </w:r>
      <w:r>
        <w:rPr>
          <w:rFonts w:ascii="Times New Roman" w:hAnsi="Times New Roman"/>
          <w:b/>
          <w:bCs/>
          <w:color w:val="252525"/>
          <w:spacing w:val="-2"/>
          <w:sz w:val="28"/>
          <w:szCs w:val="28"/>
        </w:rPr>
      </w:r>
    </w:p>
    <w:p>
      <w:pPr>
        <w:pStyle w:val="87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3.1. Инвентаризация основных средств проводится перед составлением годовой бухгалтерской отчетности. Исключение – объекты библиотечного фонда, сроки и порядок инвентаризации которых изложены в пункте 3.2 настоящего Положения.</w:t>
      </w: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</w:p>
    <w:p>
      <w:pPr>
        <w:pStyle w:val="87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 xml:space="preserve">Инвентаризации подлежат основные средства на балансовых счетах 101.00 «Основные средства», а также имущество на забалансовых счетах 01 «Имущество, полученное в пользование», 02 «Материальные ценности на хранении».</w:t>
      </w: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</w:p>
    <w:p>
      <w:pPr>
        <w:pStyle w:val="87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 xml:space="preserve">Основные средства, которые временно отсутствуют (находятся у подрядчика на ремонте, у сотрудников в командировке и т. д.), инвентаризируются по документам и регистрам до момента выбытия.</w:t>
      </w: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</w:p>
    <w:p>
      <w:pPr>
        <w:pStyle w:val="87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 xml:space="preserve">Перед инвентаризацией комиссия проверяет:</w:t>
      </w:r>
      <w:r>
        <w:rPr>
          <w:rFonts w:ascii="Times New Roman" w:hAnsi="Times New Roman"/>
          <w:sz w:val="28"/>
          <w:szCs w:val="28"/>
        </w:rPr>
        <w:br w:type="textWrapping" w:clear="all"/>
      </w:r>
      <w:r>
        <w:rPr>
          <w:rFonts w:ascii="Times New Roman" w:hAnsi="Times New Roman"/>
          <w:color w:val="000000"/>
          <w:sz w:val="28"/>
          <w:szCs w:val="28"/>
        </w:rPr>
        <w:t xml:space="preserve">– есть ли инвентарные карточки, книги и опис</w:t>
      </w:r>
      <w:r>
        <w:rPr>
          <w:rFonts w:ascii="Times New Roman" w:hAnsi="Times New Roman"/>
          <w:color w:val="000000"/>
          <w:sz w:val="28"/>
          <w:szCs w:val="28"/>
        </w:rPr>
        <w:t xml:space="preserve">и на основные средства, как они </w:t>
      </w:r>
      <w:r>
        <w:rPr>
          <w:rFonts w:ascii="Times New Roman" w:hAnsi="Times New Roman"/>
          <w:color w:val="000000"/>
          <w:sz w:val="28"/>
          <w:szCs w:val="28"/>
        </w:rPr>
        <w:t xml:space="preserve">заполнены;</w:t>
      </w:r>
      <w:r>
        <w:rPr>
          <w:rFonts w:ascii="Times New Roman" w:hAnsi="Times New Roman"/>
          <w:sz w:val="28"/>
          <w:szCs w:val="28"/>
        </w:rPr>
        <w:br w:type="textWrapping" w:clear="all"/>
      </w:r>
      <w:r>
        <w:rPr>
          <w:rFonts w:ascii="Times New Roman" w:hAnsi="Times New Roman"/>
          <w:color w:val="000000"/>
          <w:sz w:val="28"/>
          <w:szCs w:val="28"/>
        </w:rPr>
        <w:t xml:space="preserve">– состояние техпаспортов и других технических документов;</w:t>
      </w:r>
      <w:r>
        <w:rPr>
          <w:rFonts w:ascii="Times New Roman" w:hAnsi="Times New Roman"/>
          <w:sz w:val="28"/>
          <w:szCs w:val="28"/>
        </w:rPr>
        <w:br w:type="textWrapping" w:clear="all"/>
      </w:r>
      <w:r>
        <w:rPr>
          <w:rFonts w:ascii="Times New Roman" w:hAnsi="Times New Roman"/>
          <w:color w:val="000000"/>
          <w:sz w:val="28"/>
          <w:szCs w:val="28"/>
        </w:rPr>
        <w:t xml:space="preserve">– документы о государственной регистрации объектов;</w:t>
      </w:r>
      <w:r>
        <w:rPr>
          <w:rFonts w:ascii="Times New Roman" w:hAnsi="Times New Roman"/>
          <w:sz w:val="28"/>
          <w:szCs w:val="28"/>
        </w:rPr>
        <w:br w:type="textWrapping" w:clear="all"/>
      </w:r>
      <w:r>
        <w:rPr>
          <w:rFonts w:ascii="Times New Roman" w:hAnsi="Times New Roman"/>
          <w:color w:val="000000"/>
          <w:sz w:val="28"/>
          <w:szCs w:val="28"/>
        </w:rPr>
        <w:t xml:space="preserve">– документы на основные средства, которые приняли или сдали на хранение и в аренду.</w:t>
      </w: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</w:p>
    <w:p>
      <w:pPr>
        <w:pStyle w:val="87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 xml:space="preserve">При отсутствии документов комиссия должна обеспечить их получение или оформле</w:t>
      </w:r>
      <w:r>
        <w:rPr>
          <w:rFonts w:ascii="Times New Roman" w:hAnsi="Times New Roman"/>
          <w:color w:val="000000"/>
          <w:sz w:val="28"/>
          <w:szCs w:val="28"/>
        </w:rPr>
        <w:t xml:space="preserve">ние. При обнаружении расхождений и неточностей в регистрах бухгалтерского учета или технической документации следует внести соответствующие исправления и уточнения.</w:t>
      </w: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</w:p>
    <w:p>
      <w:pPr>
        <w:pStyle w:val="874"/>
        <w:jc w:val="both"/>
        <w:rPr>
          <w:rFonts w:ascii="Times New Roman" w:hAnsi="Times New Roman"/>
          <w:color w:val="000000"/>
          <w:sz w:val="28"/>
          <w:szCs w:val="28"/>
          <w:highlight w:val="none"/>
        </w:rPr>
      </w:pP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 xml:space="preserve">В ходе инвентаризации комиссия проверяет:</w:t>
      </w:r>
      <w:r>
        <w:rPr>
          <w:rFonts w:ascii="Times New Roman" w:hAnsi="Times New Roman"/>
          <w:sz w:val="28"/>
          <w:szCs w:val="28"/>
        </w:rPr>
        <w:br w:type="textWrapping" w:clear="all"/>
      </w:r>
      <w:r>
        <w:rPr>
          <w:rFonts w:ascii="Times New Roman" w:hAnsi="Times New Roman"/>
          <w:color w:val="000000"/>
          <w:sz w:val="28"/>
          <w:szCs w:val="28"/>
        </w:rPr>
        <w:t xml:space="preserve">– фактическое наличие объектов основных средств, </w:t>
      </w:r>
      <w:r>
        <w:rPr>
          <w:rFonts w:ascii="Times New Roman" w:hAnsi="Times New Roman"/>
          <w:color w:val="000000"/>
          <w:sz w:val="28"/>
          <w:szCs w:val="28"/>
        </w:rPr>
        <w:t xml:space="preserve">эксплуатируются ли они по </w:t>
      </w:r>
      <w:r>
        <w:rPr>
          <w:rFonts w:ascii="Times New Roman" w:hAnsi="Times New Roman"/>
          <w:color w:val="000000"/>
          <w:sz w:val="28"/>
          <w:szCs w:val="28"/>
        </w:rPr>
        <w:t xml:space="preserve">назначению;</w:t>
      </w:r>
      <w:r>
        <w:rPr>
          <w:rFonts w:ascii="Times New Roman" w:hAnsi="Times New Roman"/>
          <w:sz w:val="28"/>
          <w:szCs w:val="28"/>
        </w:rPr>
        <w:br w:type="textWrapping" w:clear="all"/>
      </w:r>
      <w:r>
        <w:rPr>
          <w:rFonts w:ascii="Times New Roman" w:hAnsi="Times New Roman"/>
          <w:color w:val="000000"/>
          <w:sz w:val="28"/>
          <w:szCs w:val="28"/>
        </w:rPr>
        <w:t xml:space="preserve">– физическое состояние объектов основных средств: рабочее, поломка, износ, порча и т. д.</w:t>
      </w:r>
      <w:r>
        <w:rPr>
          <w:rFonts w:ascii="Times New Roman" w:hAnsi="Times New Roman"/>
          <w:color w:val="000000"/>
          <w:sz w:val="28"/>
          <w:szCs w:val="28"/>
          <w:highlight w:val="none"/>
        </w:rPr>
      </w:r>
      <w:r>
        <w:rPr>
          <w:rFonts w:ascii="Times New Roman" w:hAnsi="Times New Roman"/>
          <w:color w:val="000000"/>
          <w:sz w:val="28"/>
          <w:szCs w:val="28"/>
          <w:highlight w:val="none"/>
        </w:rPr>
      </w:r>
    </w:p>
    <w:p>
      <w:pPr>
        <w:ind w:left="0" w:right="0" w:firstLine="708"/>
        <w:shd w:val="clear" w:color="ffffff" w:fill="ffffff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Данные об эксплуатации и физическом состоянии комиссия указывает в инвентаризационной описи (ф. 0510466).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ind w:left="0" w:right="0" w:firstLine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/>
          <w:color w:val="000000"/>
          <w:sz w:val="28"/>
          <w:szCs w:val="28"/>
          <w:highlight w:val="none"/>
        </w:rPr>
      </w:r>
      <w:r>
        <w:rPr>
          <w:rFonts w:ascii="Times New Roman" w:hAnsi="Times New Roman"/>
          <w:color w:val="000000"/>
          <w:sz w:val="28"/>
          <w:szCs w:val="28"/>
        </w:rPr>
        <w:t xml:space="preserve">3.1</w:t>
      </w:r>
      <w:r>
        <w:rPr>
          <w:rFonts w:ascii="Times New Roman" w:hAnsi="Times New Roman"/>
          <w:color w:val="000000"/>
          <w:sz w:val="28"/>
          <w:szCs w:val="28"/>
        </w:rPr>
        <w:t xml:space="preserve">.</w:t>
      </w:r>
      <w:r>
        <w:rPr>
          <w:rFonts w:ascii="Times New Roman" w:hAnsi="Times New Roman"/>
          <w:color w:val="000000"/>
          <w:sz w:val="28"/>
          <w:szCs w:val="28"/>
        </w:rPr>
        <w:t xml:space="preserve">1</w:t>
      </w:r>
      <w:r>
        <w:rPr>
          <w:rFonts w:ascii="Times New Roman" w:hAnsi="Times New Roman"/>
          <w:color w:val="000000"/>
          <w:sz w:val="28"/>
          <w:szCs w:val="28"/>
        </w:rPr>
        <w:t xml:space="preserve">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Для статуса</w:t>
      </w:r>
      <w:r>
        <w:rPr>
          <w:rFonts w:ascii="Times New Roman" w:hAnsi="Times New Roman"/>
          <w:sz w:val="28"/>
          <w:szCs w:val="28"/>
        </w:rPr>
        <w:t xml:space="preserve"> и целевой функции</w:t>
      </w:r>
      <w:r>
        <w:rPr>
          <w:rFonts w:ascii="Times New Roman" w:hAnsi="Times New Roman"/>
          <w:sz w:val="28"/>
          <w:szCs w:val="28"/>
        </w:rPr>
        <w:t xml:space="preserve"> объекта учета используются следующие коды:</w:t>
      </w:r>
      <w:r>
        <w:rPr>
          <w:rFonts w:ascii="Arial" w:hAnsi="Arial" w:eastAsia="Arial" w:cs="Arial"/>
          <w:sz w:val="21"/>
        </w:rPr>
      </w:r>
      <w:r/>
    </w:p>
    <w:p>
      <w:pPr>
        <w:pStyle w:val="880"/>
        <w:ind w:left="765"/>
        <w:jc w:val="both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Основные средства: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0"/>
        <w:ind w:left="765"/>
        <w:jc w:val="both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tbl>
      <w:tblPr>
        <w:tblW w:w="9923" w:type="dxa"/>
        <w:tblInd w:w="-3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684"/>
        <w:gridCol w:w="2372"/>
        <w:gridCol w:w="684"/>
        <w:gridCol w:w="3206"/>
        <w:gridCol w:w="29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684" w:type="dxa"/>
            <w:vAlign w:val="top"/>
            <w:textDirection w:val="lrTb"/>
            <w:noWrap w:val="false"/>
          </w:tcPr>
          <w:p>
            <w:pPr>
              <w:pStyle w:val="880"/>
              <w:jc w:val="both"/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Код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</w:r>
          </w:p>
        </w:tc>
        <w:tc>
          <w:tcPr>
            <w:tcW w:w="2372" w:type="dxa"/>
            <w:vAlign w:val="top"/>
            <w:textDirection w:val="lrTb"/>
            <w:noWrap w:val="false"/>
          </w:tcPr>
          <w:p>
            <w:pPr>
              <w:pStyle w:val="880"/>
              <w:jc w:val="both"/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Статус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</w:r>
          </w:p>
        </w:tc>
        <w:tc>
          <w:tcPr>
            <w:tcW w:w="684" w:type="dxa"/>
            <w:vAlign w:val="top"/>
            <w:textDirection w:val="lrTb"/>
            <w:noWrap w:val="false"/>
          </w:tcPr>
          <w:p>
            <w:pPr>
              <w:pStyle w:val="880"/>
              <w:jc w:val="both"/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Код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</w:r>
          </w:p>
        </w:tc>
        <w:tc>
          <w:tcPr>
            <w:tcW w:w="3206" w:type="dxa"/>
            <w:vAlign w:val="top"/>
            <w:textDirection w:val="lrTb"/>
            <w:noWrap w:val="false"/>
          </w:tcPr>
          <w:p>
            <w:pPr>
              <w:pStyle w:val="880"/>
              <w:jc w:val="both"/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Целевая функция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</w:r>
          </w:p>
        </w:tc>
        <w:tc>
          <w:tcPr>
            <w:tcW w:w="2977" w:type="dxa"/>
            <w:vAlign w:val="top"/>
            <w:textDirection w:val="lrTb"/>
            <w:noWrap w:val="false"/>
          </w:tcPr>
          <w:p>
            <w:pPr>
              <w:pStyle w:val="880"/>
              <w:jc w:val="both"/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Категория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684" w:type="dxa"/>
            <w:vAlign w:val="top"/>
            <w:textDirection w:val="lrTb"/>
            <w:noWrap w:val="false"/>
          </w:tcPr>
          <w:p>
            <w:pPr>
              <w:pStyle w:val="880"/>
              <w:jc w:val="both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11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2372" w:type="dxa"/>
            <w:vAlign w:val="top"/>
            <w:textDirection w:val="lrTb"/>
            <w:noWrap w:val="false"/>
          </w:tcPr>
          <w:p>
            <w:pPr>
              <w:pStyle w:val="880"/>
              <w:jc w:val="both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эксплуатации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684" w:type="dxa"/>
            <w:vAlign w:val="top"/>
            <w:textDirection w:val="lrTb"/>
            <w:noWrap w:val="false"/>
          </w:tcPr>
          <w:p>
            <w:pPr>
              <w:pStyle w:val="880"/>
              <w:jc w:val="both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11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3206" w:type="dxa"/>
            <w:vAlign w:val="top"/>
            <w:textDirection w:val="lrTb"/>
            <w:noWrap w:val="false"/>
          </w:tcPr>
          <w:p>
            <w:pPr>
              <w:pStyle w:val="880"/>
              <w:jc w:val="both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Продолжать эксплуатацию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2977" w:type="dxa"/>
            <w:vAlign w:val="top"/>
            <w:textDirection w:val="lrTb"/>
            <w:noWrap w:val="false"/>
          </w:tcPr>
          <w:p>
            <w:pPr>
              <w:pStyle w:val="880"/>
              <w:jc w:val="both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Актив, основное средство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684" w:type="dxa"/>
            <w:vAlign w:val="top"/>
            <w:textDirection w:val="lrTb"/>
            <w:noWrap w:val="false"/>
          </w:tcPr>
          <w:p>
            <w:pPr>
              <w:pStyle w:val="880"/>
              <w:jc w:val="both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12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2372" w:type="dxa"/>
            <w:vAlign w:val="top"/>
            <w:textDirection w:val="lrTb"/>
            <w:noWrap w:val="false"/>
          </w:tcPr>
          <w:p>
            <w:pPr>
              <w:pStyle w:val="880"/>
              <w:jc w:val="both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запасе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684" w:type="dxa"/>
            <w:vAlign w:val="top"/>
            <w:textDirection w:val="lrTb"/>
            <w:noWrap w:val="false"/>
          </w:tcPr>
          <w:p>
            <w:pPr>
              <w:pStyle w:val="880"/>
              <w:jc w:val="both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12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3206" w:type="dxa"/>
            <w:vAlign w:val="top"/>
            <w:textDirection w:val="lrTb"/>
            <w:noWrap w:val="false"/>
          </w:tcPr>
          <w:p>
            <w:pPr>
              <w:pStyle w:val="880"/>
              <w:jc w:val="both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Ввести в эксплуатацию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2977" w:type="dxa"/>
            <w:vAlign w:val="top"/>
            <w:textDirection w:val="lrTb"/>
            <w:noWrap w:val="false"/>
          </w:tcPr>
          <w:p>
            <w:pPr>
              <w:pStyle w:val="880"/>
              <w:jc w:val="both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Актив, основное средство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684" w:type="dxa"/>
            <w:vAlign w:val="top"/>
            <w:textDirection w:val="lrTb"/>
            <w:noWrap w:val="false"/>
          </w:tcPr>
          <w:p>
            <w:pPr>
              <w:pStyle w:val="880"/>
              <w:jc w:val="both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13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2372" w:type="dxa"/>
            <w:vAlign w:val="top"/>
            <w:textDirection w:val="lrTb"/>
            <w:noWrap w:val="false"/>
          </w:tcPr>
          <w:p>
            <w:pPr>
              <w:pStyle w:val="880"/>
              <w:jc w:val="both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складе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684" w:type="dxa"/>
            <w:vAlign w:val="top"/>
            <w:textDirection w:val="lrTb"/>
            <w:noWrap w:val="false"/>
          </w:tcPr>
          <w:p>
            <w:pPr>
              <w:pStyle w:val="880"/>
              <w:jc w:val="both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13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3206" w:type="dxa"/>
            <w:vAlign w:val="top"/>
            <w:textDirection w:val="lrTb"/>
            <w:noWrap w:val="false"/>
          </w:tcPr>
          <w:p>
            <w:pPr>
              <w:pStyle w:val="880"/>
              <w:jc w:val="both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Прекратить эксплуатацию в связи с физическим и моральным износом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2977" w:type="dxa"/>
            <w:vAlign w:val="top"/>
            <w:textDirection w:val="lrTb"/>
            <w:noWrap w:val="false"/>
          </w:tcPr>
          <w:p>
            <w:pPr>
              <w:pStyle w:val="880"/>
              <w:jc w:val="both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Актив, материальный запас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684" w:type="dxa"/>
            <w:vAlign w:val="top"/>
            <w:textDirection w:val="lrTb"/>
            <w:noWrap w:val="false"/>
          </w:tcPr>
          <w:p>
            <w:pPr>
              <w:pStyle w:val="880"/>
              <w:jc w:val="both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14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2372" w:type="dxa"/>
            <w:vAlign w:val="top"/>
            <w:textDirection w:val="lrTb"/>
            <w:noWrap w:val="false"/>
          </w:tcPr>
          <w:p>
            <w:pPr>
              <w:pStyle w:val="880"/>
              <w:jc w:val="both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Не эксплуатируется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684" w:type="dxa"/>
            <w:vAlign w:val="top"/>
            <w:textDirection w:val="lrTb"/>
            <w:noWrap w:val="false"/>
          </w:tcPr>
          <w:p>
            <w:pPr>
              <w:pStyle w:val="880"/>
              <w:jc w:val="both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14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3206" w:type="dxa"/>
            <w:vAlign w:val="top"/>
            <w:textDirection w:val="lrTb"/>
            <w:noWrap w:val="false"/>
          </w:tcPr>
          <w:p>
            <w:pPr>
              <w:pStyle w:val="880"/>
              <w:jc w:val="both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Отремонтировать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2977" w:type="dxa"/>
            <w:vAlign w:val="top"/>
            <w:textDirection w:val="lrTb"/>
            <w:noWrap w:val="false"/>
          </w:tcPr>
          <w:p>
            <w:pPr>
              <w:pStyle w:val="880"/>
              <w:jc w:val="both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Актив, основное средство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684" w:type="dxa"/>
            <w:vAlign w:val="top"/>
            <w:textDirection w:val="lrTb"/>
            <w:noWrap w:val="false"/>
          </w:tcPr>
          <w:p>
            <w:pPr>
              <w:pStyle w:val="880"/>
              <w:jc w:val="both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15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2372" w:type="dxa"/>
            <w:vAlign w:val="top"/>
            <w:textDirection w:val="lrTb"/>
            <w:noWrap w:val="false"/>
          </w:tcPr>
          <w:p>
            <w:pPr>
              <w:pStyle w:val="880"/>
              <w:jc w:val="both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Нуждается в ремонте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684" w:type="dxa"/>
            <w:vAlign w:val="top"/>
            <w:textDirection w:val="lrTb"/>
            <w:noWrap w:val="false"/>
          </w:tcPr>
          <w:p>
            <w:pPr>
              <w:pStyle w:val="880"/>
              <w:jc w:val="both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15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3206" w:type="dxa"/>
            <w:vAlign w:val="top"/>
            <w:textDirection w:val="lrTb"/>
            <w:noWrap w:val="false"/>
          </w:tcPr>
          <w:p>
            <w:pPr>
              <w:pStyle w:val="880"/>
              <w:jc w:val="both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Не ремонтировать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2977" w:type="dxa"/>
            <w:vAlign w:val="top"/>
            <w:textDirection w:val="lrTb"/>
            <w:noWrap w:val="false"/>
          </w:tcPr>
          <w:p>
            <w:pPr>
              <w:pStyle w:val="880"/>
              <w:jc w:val="both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Не актив, материальные ценности на хранении (забалансовый счет 02)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684" w:type="dxa"/>
            <w:vAlign w:val="top"/>
            <w:textDirection w:val="lrTb"/>
            <w:noWrap w:val="false"/>
          </w:tcPr>
          <w:p>
            <w:pPr>
              <w:pStyle w:val="880"/>
              <w:jc w:val="both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16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2372" w:type="dxa"/>
            <w:vAlign w:val="top"/>
            <w:textDirection w:val="lrTb"/>
            <w:noWrap w:val="false"/>
          </w:tcPr>
          <w:p>
            <w:pPr>
              <w:pStyle w:val="880"/>
              <w:jc w:val="both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консервации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684" w:type="dxa"/>
            <w:vAlign w:val="top"/>
            <w:textDirection w:val="lrTb"/>
            <w:noWrap w:val="false"/>
          </w:tcPr>
          <w:p>
            <w:pPr>
              <w:pStyle w:val="880"/>
              <w:jc w:val="both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16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3206" w:type="dxa"/>
            <w:vAlign w:val="top"/>
            <w:textDirection w:val="lrTb"/>
            <w:noWrap w:val="false"/>
          </w:tcPr>
          <w:p>
            <w:pPr>
              <w:pStyle w:val="880"/>
              <w:jc w:val="both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Консервация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2977" w:type="dxa"/>
            <w:vAlign w:val="top"/>
            <w:textDirection w:val="lrTb"/>
            <w:noWrap w:val="false"/>
          </w:tcPr>
          <w:p>
            <w:pPr>
              <w:pStyle w:val="880"/>
              <w:jc w:val="both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Актив, основное средство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</w:tbl>
    <w:p>
      <w:pPr>
        <w:pStyle w:val="874"/>
        <w:jc w:val="both"/>
        <w:spacing w:after="0"/>
        <w:shd w:val="clear" w:color="auto" w:fill="ffffff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(</w:t>
      </w:r>
      <w:r>
        <w:rPr>
          <w:rFonts w:ascii="Times New Roman" w:hAnsi="Times New Roman"/>
          <w:i/>
          <w:sz w:val="28"/>
          <w:szCs w:val="28"/>
        </w:rPr>
        <w:t xml:space="preserve">Основание: п. 6 СГС «Обесценение актива», п. 36,80 СГС «Концептуальные основы бухучета и отчетности»</w:t>
      </w:r>
      <w:r>
        <w:rPr>
          <w:rFonts w:ascii="Times New Roman" w:hAnsi="Times New Roman"/>
          <w:i/>
          <w:sz w:val="28"/>
          <w:szCs w:val="28"/>
        </w:rPr>
        <w:t xml:space="preserve">)</w:t>
      </w:r>
      <w:r>
        <w:rPr>
          <w:rFonts w:ascii="Times New Roman" w:hAnsi="Times New Roman"/>
          <w:i/>
          <w:sz w:val="28"/>
          <w:szCs w:val="28"/>
        </w:rPr>
        <w:t xml:space="preserve">.</w:t>
      </w:r>
      <w:r>
        <w:rPr>
          <w:rFonts w:ascii="Times New Roman" w:hAnsi="Times New Roman"/>
          <w:i/>
          <w:sz w:val="28"/>
          <w:szCs w:val="28"/>
        </w:rPr>
      </w:r>
      <w:r>
        <w:rPr>
          <w:rFonts w:ascii="Times New Roman" w:hAnsi="Times New Roman"/>
          <w:i/>
          <w:sz w:val="28"/>
          <w:szCs w:val="28"/>
        </w:rPr>
      </w:r>
    </w:p>
    <w:p>
      <w:pPr>
        <w:pStyle w:val="874"/>
        <w:jc w:val="both"/>
        <w:spacing w:after="0"/>
        <w:shd w:val="clear" w:color="auto" w:fill="ffffff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</w:r>
      <w:r>
        <w:rPr>
          <w:rFonts w:ascii="Times New Roman" w:hAnsi="Times New Roman"/>
          <w:i/>
          <w:sz w:val="28"/>
          <w:szCs w:val="28"/>
        </w:rPr>
      </w:r>
      <w:r>
        <w:rPr>
          <w:rFonts w:ascii="Times New Roman" w:hAnsi="Times New Roman"/>
          <w:i/>
          <w:sz w:val="28"/>
          <w:szCs w:val="28"/>
        </w:rPr>
      </w:r>
    </w:p>
    <w:p>
      <w:pPr>
        <w:pStyle w:val="87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3.1.2.</w:t>
      </w:r>
      <w:r>
        <w:rPr>
          <w:rFonts w:ascii="Times New Roman" w:hAnsi="Times New Roman"/>
          <w:color w:val="000000"/>
          <w:sz w:val="28"/>
          <w:szCs w:val="28"/>
        </w:rPr>
        <w:t xml:space="preserve">Инвентаризацию имущества, переданного в аренду, комиссия проводит путем фиксации факта получения экономических выгод – арендной платы от арендатора.</w:t>
      </w: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</w:p>
    <w:p>
      <w:pPr>
        <w:pStyle w:val="874"/>
        <w:numPr>
          <w:ilvl w:val="2"/>
          <w:numId w:val="13"/>
        </w:numPr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Инвентаризация библиотечных фондов проводится при смене руководителя библиотеки и раз в 5 лет.</w:t>
      </w: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</w:p>
    <w:p>
      <w:pPr>
        <w:pStyle w:val="874"/>
        <w:numPr>
          <w:ilvl w:val="2"/>
          <w:numId w:val="13"/>
        </w:numPr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При инвентаризации библиотечного фонда комиссия проверяет книги путем подсчета, электронные документы – по количественным показателям и контрольным суммам.</w:t>
      </w: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</w:p>
    <w:p>
      <w:pPr>
        <w:pStyle w:val="874"/>
        <w:numPr>
          <w:ilvl w:val="2"/>
          <w:numId w:val="13"/>
        </w:numPr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По незавершенному капстроительству на счете 106.11 «Вложения в основные средства – недвижимое имущество учреждения» комиссия проверяет:</w:t>
      </w:r>
      <w:r>
        <w:rPr>
          <w:rFonts w:ascii="Times New Roman" w:hAnsi="Times New Roman"/>
          <w:sz w:val="28"/>
          <w:szCs w:val="28"/>
        </w:rPr>
        <w:br w:type="textWrapping" w:clear="all"/>
      </w:r>
      <w:r>
        <w:rPr>
          <w:rFonts w:ascii="Times New Roman" w:hAnsi="Times New Roman"/>
          <w:color w:val="000000"/>
          <w:sz w:val="28"/>
          <w:szCs w:val="28"/>
        </w:rPr>
        <w:t xml:space="preserve">– нет ли в составе оборудования, которое передали на стройку, но не начали монтировать;</w:t>
      </w:r>
      <w:r>
        <w:rPr>
          <w:rFonts w:ascii="Times New Roman" w:hAnsi="Times New Roman"/>
          <w:sz w:val="28"/>
          <w:szCs w:val="28"/>
        </w:rPr>
        <w:br w:type="textWrapping" w:clear="all"/>
      </w:r>
      <w:r>
        <w:rPr>
          <w:rFonts w:ascii="Times New Roman" w:hAnsi="Times New Roman"/>
          <w:color w:val="000000"/>
          <w:sz w:val="28"/>
          <w:szCs w:val="28"/>
        </w:rPr>
        <w:t xml:space="preserve">– состояние и причины законсервированных и временно приостановленных объектов строительства.</w:t>
      </w: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</w:p>
    <w:p>
      <w:pPr>
        <w:ind w:left="0" w:right="0"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При проверке используется техническая документация, акты сдачи выполненных работ (этапов), журналы учета выполненных работ на объектах строительства и др.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Результаты инвентаризации заносятся в инвентаризационную опись (ф. 0510466). В описи по каждому отдельному виду работ, конструктивным элементам и оборудованию комиссия указывает наименование объекта и объем выполненных работ. В графах 8 и 9 инвентаризацион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ной описи по НФА комиссия указывает ход реализации вложений в соответствии с пунктом 75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Инструкции, утвержденной </w:t>
      </w:r>
      <w:hyperlink r:id="rId9" w:tooltip="https://gosfinansy.ru/group?groupId=306987&amp;locale=ru&amp;date=2026-01-01&amp;isStatic=false&amp;pubAlias=mcfr-gf" w:history="1">
        <w:r>
          <w:rPr>
            <w:rStyle w:val="883"/>
            <w:rFonts w:ascii="Times New Roman" w:hAnsi="Times New Roman" w:eastAsia="Times New Roman" w:cs="Times New Roman"/>
            <w:color w:val="000000" w:themeColor="text1"/>
            <w:sz w:val="28"/>
            <w:szCs w:val="28"/>
            <w:u w:val="none"/>
          </w:rPr>
          <w:t xml:space="preserve">приказом Минфина от 25.03.2011 № 33н</w:t>
        </w:r>
      </w:hyperlink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.</w:t>
      </w:r>
      <w:r>
        <w:br/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pStyle w:val="874"/>
        <w:numPr>
          <w:ilvl w:val="2"/>
          <w:numId w:val="13"/>
        </w:numPr>
        <w:ind w:left="0" w:firstLine="0"/>
        <w:jc w:val="both"/>
        <w:rPr>
          <w:rFonts w:ascii="Times New Roman" w:hAnsi="Times New Roman" w:cs="Times New Roman"/>
          <w:color w:val="222222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При инвентаризации нематериальных активов комиссия проверяет:</w:t>
      </w:r>
      <w:r>
        <w:rPr>
          <w:rFonts w:ascii="Times New Roman" w:hAnsi="Times New Roman" w:eastAsia="Times New Roman" w:cs="Times New Roman"/>
          <w:sz w:val="28"/>
          <w:szCs w:val="28"/>
        </w:rPr>
        <w:br w:type="textWrapping" w:clear="all"/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– есть ли свидетельства, патенты и лицензионные договоры, которые подтверждают исключительные права учреждения на активы;</w:t>
      </w:r>
      <w:r>
        <w:rPr>
          <w:rFonts w:ascii="Times New Roman" w:hAnsi="Times New Roman" w:eastAsia="Times New Roman" w:cs="Times New Roman"/>
          <w:sz w:val="28"/>
          <w:szCs w:val="28"/>
        </w:rPr>
        <w:br w:type="textWrapping" w:clear="all"/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– учтены ли активы на балансе и нет ли ошибок в учете.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222222"/>
          <w:sz w:val="28"/>
          <w:szCs w:val="28"/>
          <w:highlight w:val="white"/>
        </w:rPr>
      </w:r>
    </w:p>
    <w:p>
      <w:pPr>
        <w:ind w:left="648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</w:rPr>
        <w:t xml:space="preserve">Р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езультаты инвентаризации заносятся в инвентаризационную опись (ф. 0510466).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pStyle w:val="874"/>
        <w:numPr>
          <w:ilvl w:val="1"/>
          <w:numId w:val="13"/>
        </w:numPr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Материальные запасы комиссия проверяет по к</w:t>
      </w:r>
      <w:r>
        <w:rPr>
          <w:rFonts w:ascii="Times New Roman" w:hAnsi="Times New Roman"/>
          <w:color w:val="000000"/>
          <w:sz w:val="28"/>
          <w:szCs w:val="28"/>
        </w:rPr>
        <w:t xml:space="preserve">аждому ответственному лицу и по местам хранения. При инвентаризации материальных запасов, которых нет в учреждении (в пути, отгруженные, не оплачены в срок, на складах других организаций), проверяется обоснованность сумм на соответствующих счетах бухучета.</w:t>
      </w: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</w:p>
    <w:p>
      <w:pPr>
        <w:pStyle w:val="874"/>
        <w:numPr>
          <w:ilvl w:val="2"/>
          <w:numId w:val="15"/>
        </w:numPr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Отдельные инвентаризационные описи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(</w:t>
      </w:r>
      <w:r>
        <w:rPr>
          <w:rFonts w:ascii="Times New Roman" w:hAnsi="Times New Roman" w:eastAsia="Times New Roman" w:cs="Times New Roman"/>
          <w:color w:val="222222"/>
          <w:sz w:val="28"/>
          <w:szCs w:val="28"/>
          <w:highlight w:val="white"/>
        </w:rPr>
        <w:t xml:space="preserve">ф. 0510466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)</w:t>
      </w:r>
      <w:r>
        <w:rPr>
          <w:rFonts w:ascii="Times New Roman" w:hAnsi="Times New Roman"/>
          <w:color w:val="000000"/>
          <w:sz w:val="28"/>
          <w:szCs w:val="28"/>
        </w:rPr>
        <w:t xml:space="preserve"> составляются на материальные запасы, которые:</w:t>
      </w:r>
      <w:r>
        <w:rPr>
          <w:rFonts w:ascii="Times New Roman" w:hAnsi="Times New Roman"/>
          <w:sz w:val="28"/>
          <w:szCs w:val="28"/>
        </w:rPr>
        <w:br w:type="textWrapping" w:clear="all"/>
      </w:r>
      <w:r>
        <w:rPr>
          <w:rFonts w:ascii="Times New Roman" w:hAnsi="Times New Roman"/>
          <w:color w:val="000000"/>
          <w:sz w:val="28"/>
          <w:szCs w:val="28"/>
        </w:rPr>
        <w:t xml:space="preserve">– находятся в учреждении и распределены по ответственным лицам;</w:t>
      </w:r>
      <w:r>
        <w:rPr>
          <w:rFonts w:ascii="Times New Roman" w:hAnsi="Times New Roman"/>
          <w:sz w:val="28"/>
          <w:szCs w:val="28"/>
        </w:rPr>
        <w:br w:type="textWrapping" w:clear="all"/>
      </w:r>
      <w:r>
        <w:rPr>
          <w:rFonts w:ascii="Times New Roman" w:hAnsi="Times New Roman"/>
          <w:color w:val="000000"/>
          <w:sz w:val="28"/>
          <w:szCs w:val="28"/>
        </w:rPr>
        <w:t xml:space="preserve">– находятся в пути. По каждой отправке в описи указывается наименование, количество и стоимость, дата отгрузки, а также перечень и номера учетных документов;</w:t>
      </w:r>
      <w:r>
        <w:rPr>
          <w:rFonts w:ascii="Times New Roman" w:hAnsi="Times New Roman"/>
          <w:sz w:val="28"/>
          <w:szCs w:val="28"/>
        </w:rPr>
        <w:br w:type="textWrapping" w:clear="all"/>
      </w:r>
      <w:r>
        <w:rPr>
          <w:rFonts w:ascii="Times New Roman" w:hAnsi="Times New Roman"/>
          <w:color w:val="000000"/>
          <w:sz w:val="28"/>
          <w:szCs w:val="28"/>
        </w:rPr>
        <w:t xml:space="preserve">– отгружены и не оплачены вовремя покупателями. По каждой отгрузке в описи указывается наименование покупателя и материальных запасов, сумма, дата отгрузки, дата выписки и номер расчетного документа;</w:t>
      </w:r>
      <w:r>
        <w:rPr>
          <w:rFonts w:ascii="Times New Roman" w:hAnsi="Times New Roman"/>
          <w:sz w:val="28"/>
          <w:szCs w:val="28"/>
        </w:rPr>
        <w:br w:type="textWrapping" w:clear="all"/>
      </w:r>
      <w:r>
        <w:rPr>
          <w:rFonts w:ascii="Times New Roman" w:hAnsi="Times New Roman"/>
          <w:color w:val="000000"/>
          <w:sz w:val="28"/>
          <w:szCs w:val="28"/>
        </w:rPr>
        <w:t xml:space="preserve">– переданы в переработку. В описи указывается наименование перерабатывающей</w:t>
      </w:r>
      <w:r>
        <w:rPr>
          <w:rFonts w:ascii="Times New Roman" w:hAnsi="Times New Roman"/>
          <w:sz w:val="28"/>
          <w:szCs w:val="28"/>
        </w:rPr>
        <w:br w:type="textWrapping" w:clear="all"/>
      </w:r>
      <w:r>
        <w:rPr>
          <w:rFonts w:ascii="Times New Roman" w:hAnsi="Times New Roman"/>
          <w:color w:val="000000"/>
          <w:sz w:val="28"/>
          <w:szCs w:val="28"/>
        </w:rPr>
        <w:t xml:space="preserve">организации и материальных запасов, количество, фактическая стоимость по данным бухучета, дата передачи, номера и даты документов;</w:t>
      </w:r>
      <w:r>
        <w:rPr>
          <w:rFonts w:ascii="Times New Roman" w:hAnsi="Times New Roman"/>
          <w:sz w:val="28"/>
          <w:szCs w:val="28"/>
        </w:rPr>
        <w:br w:type="textWrapping" w:clear="all"/>
      </w:r>
      <w:r>
        <w:rPr>
          <w:rFonts w:ascii="Times New Roman" w:hAnsi="Times New Roman"/>
          <w:color w:val="000000"/>
          <w:sz w:val="28"/>
          <w:szCs w:val="28"/>
        </w:rPr>
        <w:t xml:space="preserve">– находятся на складах других организаций. В описи указывается наименование организации и материальных запасов, количество и стоимость.</w:t>
      </w: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</w:p>
    <w:p>
      <w:pPr>
        <w:pStyle w:val="874"/>
        <w:numPr>
          <w:ilvl w:val="2"/>
          <w:numId w:val="15"/>
        </w:numPr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При инвентаризации ГСМ в описи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(</w:t>
      </w:r>
      <w:r>
        <w:rPr>
          <w:rFonts w:ascii="Times New Roman" w:hAnsi="Times New Roman" w:eastAsia="Times New Roman" w:cs="Times New Roman"/>
          <w:color w:val="222222"/>
          <w:sz w:val="28"/>
          <w:szCs w:val="28"/>
          <w:highlight w:val="white"/>
        </w:rPr>
        <w:t xml:space="preserve">ф. 0510466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)</w:t>
      </w:r>
      <w:r>
        <w:rPr>
          <w:rFonts w:ascii="Times New Roman" w:hAnsi="Times New Roman"/>
          <w:color w:val="000000"/>
          <w:sz w:val="28"/>
          <w:szCs w:val="28"/>
        </w:rPr>
        <w:t xml:space="preserve"> указываются:</w:t>
      </w: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</w:p>
    <w:p>
      <w:pPr>
        <w:pStyle w:val="87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– остатки топлива в баках по каждому транспортному средству;</w:t>
      </w:r>
      <w:r>
        <w:rPr>
          <w:rFonts w:ascii="Times New Roman" w:hAnsi="Times New Roman"/>
          <w:sz w:val="28"/>
          <w:szCs w:val="28"/>
        </w:rPr>
        <w:br w:type="textWrapping" w:clear="all"/>
      </w:r>
      <w:r>
        <w:rPr>
          <w:rFonts w:ascii="Times New Roman" w:hAnsi="Times New Roman"/>
          <w:color w:val="000000"/>
          <w:sz w:val="28"/>
          <w:szCs w:val="28"/>
        </w:rPr>
        <w:t xml:space="preserve">– топливо, которое хранится в емкостях.</w:t>
      </w: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</w:p>
    <w:p>
      <w:pPr>
        <w:pStyle w:val="87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Остаток топлива в баках измеряется такими способами:</w:t>
      </w: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</w:p>
    <w:p>
      <w:pPr>
        <w:pStyle w:val="87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– специальными измерителями или мерками;</w:t>
      </w:r>
      <w:r>
        <w:rPr>
          <w:rFonts w:ascii="Times New Roman" w:hAnsi="Times New Roman"/>
          <w:sz w:val="28"/>
          <w:szCs w:val="28"/>
        </w:rPr>
        <w:br w:type="textWrapping" w:clear="all"/>
      </w:r>
      <w:r>
        <w:rPr>
          <w:rFonts w:ascii="Times New Roman" w:hAnsi="Times New Roman"/>
          <w:color w:val="000000"/>
          <w:sz w:val="28"/>
          <w:szCs w:val="28"/>
        </w:rPr>
        <w:t xml:space="preserve">– путем слива или заправки до полного бака;</w:t>
      </w:r>
      <w:r>
        <w:rPr>
          <w:rFonts w:ascii="Times New Roman" w:hAnsi="Times New Roman"/>
          <w:sz w:val="28"/>
          <w:szCs w:val="28"/>
        </w:rPr>
        <w:br w:type="textWrapping" w:clear="all"/>
      </w:r>
      <w:r>
        <w:rPr>
          <w:rFonts w:ascii="Times New Roman" w:hAnsi="Times New Roman"/>
          <w:color w:val="000000"/>
          <w:sz w:val="28"/>
          <w:szCs w:val="28"/>
        </w:rPr>
        <w:t xml:space="preserve">– по показаниям бортового компьютера или стрелочного индикатора уровня топлива.</w:t>
      </w: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</w:p>
    <w:p>
      <w:pPr>
        <w:pStyle w:val="874"/>
        <w:numPr>
          <w:ilvl w:val="2"/>
          <w:numId w:val="15"/>
        </w:numPr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При инвентаризации продуктов питания комиссия:</w:t>
      </w: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</w:p>
    <w:p>
      <w:pPr>
        <w:pStyle w:val="87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– пломбирует подсобные помещения, подвалы и другие места, где есть отдельные входы и выходы;</w:t>
      </w:r>
      <w:r>
        <w:rPr>
          <w:rFonts w:ascii="Times New Roman" w:hAnsi="Times New Roman"/>
          <w:sz w:val="28"/>
          <w:szCs w:val="28"/>
        </w:rPr>
        <w:br w:type="textWrapping" w:clear="all"/>
      </w:r>
      <w:r>
        <w:rPr>
          <w:rFonts w:ascii="Times New Roman" w:hAnsi="Times New Roman"/>
          <w:color w:val="000000"/>
          <w:sz w:val="28"/>
          <w:szCs w:val="28"/>
        </w:rPr>
        <w:t xml:space="preserve">– проверяет исправность весов и измерительных приборов и сроки их клеймения.</w:t>
      </w: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</w:p>
    <w:p>
      <w:pPr>
        <w:pStyle w:val="874"/>
        <w:jc w:val="both"/>
        <w:rPr>
          <w:rFonts w:ascii="Times New Roman" w:hAnsi="Times New Roman"/>
          <w:color w:val="000000"/>
          <w:sz w:val="28"/>
          <w:szCs w:val="28"/>
          <w:highlight w:val="none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Фактическое наличие продуктов определяется путем пересчета, взвешивания, измерения. Вес наливных продуктов определяется путем обмеров и технических расчетов. Количество продуктов в неповрежденной упаковке – по документам поставщика.</w:t>
      </w:r>
      <w:r>
        <w:rPr>
          <w:rFonts w:ascii="Times New Roman" w:hAnsi="Times New Roman"/>
          <w:color w:val="000000"/>
          <w:sz w:val="28"/>
          <w:szCs w:val="28"/>
          <w:highlight w:val="none"/>
        </w:rPr>
      </w:r>
      <w:r>
        <w:rPr>
          <w:rFonts w:ascii="Times New Roman" w:hAnsi="Times New Roman"/>
          <w:color w:val="000000"/>
          <w:sz w:val="28"/>
          <w:szCs w:val="28"/>
          <w:highlight w:val="none"/>
        </w:rPr>
      </w:r>
    </w:p>
    <w:p>
      <w:pPr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Результаты инвентаризации комиссия отражает в инвентаризационной описи (ф. 0510466).</w:t>
      </w:r>
      <w:r>
        <w:rPr>
          <w:rFonts w:ascii="Times New Roman" w:hAnsi="Times New Roman"/>
          <w:color w:val="000000"/>
          <w:sz w:val="28"/>
          <w:szCs w:val="28"/>
          <w:highlight w:val="none"/>
        </w:rPr>
      </w:r>
      <w:r>
        <w:rPr>
          <w:rFonts w:ascii="Times New Roman" w:hAnsi="Times New Roman"/>
          <w:color w:val="000000"/>
          <w:sz w:val="28"/>
          <w:szCs w:val="28"/>
        </w:rPr>
      </w:r>
    </w:p>
    <w:p>
      <w:pPr>
        <w:pStyle w:val="87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3.2.4. </w:t>
      </w:r>
      <w:r>
        <w:rPr>
          <w:rFonts w:ascii="Times New Roman" w:hAnsi="Times New Roman"/>
          <w:sz w:val="28"/>
          <w:szCs w:val="28"/>
        </w:rPr>
        <w:t xml:space="preserve">Для статуса и целевой функции объекта учета используются следующие коды:</w:t>
      </w: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</w:p>
    <w:p>
      <w:pPr>
        <w:pStyle w:val="880"/>
        <w:ind w:left="648"/>
        <w:jc w:val="both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Материальные запасы: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0"/>
        <w:ind w:left="648"/>
        <w:jc w:val="both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tbl>
      <w:tblPr>
        <w:tblW w:w="9923" w:type="dxa"/>
        <w:tblInd w:w="-3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684"/>
        <w:gridCol w:w="2367"/>
        <w:gridCol w:w="684"/>
        <w:gridCol w:w="3211"/>
        <w:gridCol w:w="29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684" w:type="dxa"/>
            <w:vAlign w:val="top"/>
            <w:textDirection w:val="lrTb"/>
            <w:noWrap w:val="false"/>
          </w:tcPr>
          <w:p>
            <w:pPr>
              <w:pStyle w:val="880"/>
              <w:jc w:val="both"/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Код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</w:r>
          </w:p>
        </w:tc>
        <w:tc>
          <w:tcPr>
            <w:tcW w:w="2367" w:type="dxa"/>
            <w:vAlign w:val="top"/>
            <w:textDirection w:val="lrTb"/>
            <w:noWrap w:val="false"/>
          </w:tcPr>
          <w:p>
            <w:pPr>
              <w:pStyle w:val="880"/>
              <w:jc w:val="both"/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Статус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</w:r>
          </w:p>
        </w:tc>
        <w:tc>
          <w:tcPr>
            <w:tcW w:w="684" w:type="dxa"/>
            <w:vAlign w:val="top"/>
            <w:textDirection w:val="lrTb"/>
            <w:noWrap w:val="false"/>
          </w:tcPr>
          <w:p>
            <w:pPr>
              <w:pStyle w:val="880"/>
              <w:jc w:val="both"/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Код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</w:r>
          </w:p>
        </w:tc>
        <w:tc>
          <w:tcPr>
            <w:tcW w:w="3211" w:type="dxa"/>
            <w:vAlign w:val="top"/>
            <w:textDirection w:val="lrTb"/>
            <w:noWrap w:val="false"/>
          </w:tcPr>
          <w:p>
            <w:pPr>
              <w:pStyle w:val="880"/>
              <w:jc w:val="both"/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Целевая функция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</w:r>
          </w:p>
        </w:tc>
        <w:tc>
          <w:tcPr>
            <w:tcW w:w="2977" w:type="dxa"/>
            <w:vAlign w:val="top"/>
            <w:textDirection w:val="lrTb"/>
            <w:noWrap w:val="false"/>
          </w:tcPr>
          <w:p>
            <w:pPr>
              <w:pStyle w:val="880"/>
              <w:jc w:val="both"/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Категория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684" w:type="dxa"/>
            <w:vAlign w:val="top"/>
            <w:textDirection w:val="lrTb"/>
            <w:noWrap w:val="false"/>
          </w:tcPr>
          <w:p>
            <w:pPr>
              <w:pStyle w:val="880"/>
              <w:jc w:val="both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51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2367" w:type="dxa"/>
            <w:vAlign w:val="top"/>
            <w:textDirection w:val="lrTb"/>
            <w:noWrap w:val="false"/>
          </w:tcPr>
          <w:p>
            <w:pPr>
              <w:pStyle w:val="880"/>
              <w:jc w:val="both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запасе для использования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684" w:type="dxa"/>
            <w:vAlign w:val="top"/>
            <w:textDirection w:val="lrTb"/>
            <w:noWrap w:val="false"/>
          </w:tcPr>
          <w:p>
            <w:pPr>
              <w:pStyle w:val="880"/>
              <w:jc w:val="both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12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3211" w:type="dxa"/>
            <w:vAlign w:val="top"/>
            <w:textDirection w:val="lrTb"/>
            <w:noWrap w:val="false"/>
          </w:tcPr>
          <w:p>
            <w:pPr>
              <w:pStyle w:val="880"/>
              <w:jc w:val="both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Использовать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2977" w:type="dxa"/>
            <w:vAlign w:val="top"/>
            <w:textDirection w:val="lrTb"/>
            <w:noWrap w:val="false"/>
          </w:tcPr>
          <w:p>
            <w:pPr>
              <w:pStyle w:val="880"/>
              <w:jc w:val="both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Актив, материальный запас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684" w:type="dxa"/>
            <w:vAlign w:val="top"/>
            <w:textDirection w:val="lrTb"/>
            <w:noWrap w:val="false"/>
          </w:tcPr>
          <w:p>
            <w:pPr>
              <w:pStyle w:val="880"/>
              <w:jc w:val="both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52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2367" w:type="dxa"/>
            <w:vAlign w:val="top"/>
            <w:textDirection w:val="lrTb"/>
            <w:noWrap w:val="false"/>
          </w:tcPr>
          <w:p>
            <w:pPr>
              <w:pStyle w:val="880"/>
              <w:jc w:val="both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складе для хранения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684" w:type="dxa"/>
            <w:vAlign w:val="top"/>
            <w:textDirection w:val="lrTb"/>
            <w:noWrap w:val="false"/>
          </w:tcPr>
          <w:p>
            <w:pPr>
              <w:pStyle w:val="880"/>
              <w:jc w:val="both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13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3211" w:type="dxa"/>
            <w:vAlign w:val="top"/>
            <w:textDirection w:val="lrTb"/>
            <w:noWrap w:val="false"/>
          </w:tcPr>
          <w:p>
            <w:pPr>
              <w:pStyle w:val="880"/>
              <w:jc w:val="both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Продолжить хранение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2977" w:type="dxa"/>
            <w:vAlign w:val="top"/>
            <w:textDirection w:val="lrTb"/>
            <w:noWrap w:val="false"/>
          </w:tcPr>
          <w:p>
            <w:pPr>
              <w:pStyle w:val="880"/>
              <w:jc w:val="both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Актив, материальный запас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684" w:type="dxa"/>
            <w:vAlign w:val="top"/>
            <w:textDirection w:val="lrTb"/>
            <w:noWrap w:val="false"/>
          </w:tcPr>
          <w:p>
            <w:pPr>
              <w:pStyle w:val="880"/>
              <w:jc w:val="both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53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2367" w:type="dxa"/>
            <w:vAlign w:val="top"/>
            <w:textDirection w:val="lrTb"/>
            <w:noWrap w:val="false"/>
          </w:tcPr>
          <w:p>
            <w:pPr>
              <w:pStyle w:val="880"/>
              <w:jc w:val="both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Ненадлежащего качества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684" w:type="dxa"/>
            <w:vAlign w:val="top"/>
            <w:textDirection w:val="lrTb"/>
            <w:noWrap w:val="false"/>
          </w:tcPr>
          <w:p>
            <w:pPr>
              <w:pStyle w:val="880"/>
              <w:jc w:val="both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14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3211" w:type="dxa"/>
            <w:vAlign w:val="top"/>
            <w:textDirection w:val="lrTb"/>
            <w:noWrap w:val="false"/>
          </w:tcPr>
          <w:p>
            <w:pPr>
              <w:pStyle w:val="880"/>
              <w:jc w:val="both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Списать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2977" w:type="dxa"/>
            <w:vAlign w:val="top"/>
            <w:textDirection w:val="lrTb"/>
            <w:noWrap w:val="false"/>
          </w:tcPr>
          <w:p>
            <w:pPr>
              <w:pStyle w:val="880"/>
              <w:jc w:val="both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Не актив, материальные ценности на хранении (забалансовый счет 02)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684" w:type="dxa"/>
            <w:vAlign w:val="top"/>
            <w:textDirection w:val="lrTb"/>
            <w:noWrap w:val="false"/>
          </w:tcPr>
          <w:p>
            <w:pPr>
              <w:pStyle w:val="880"/>
              <w:jc w:val="both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54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2367" w:type="dxa"/>
            <w:vAlign w:val="top"/>
            <w:textDirection w:val="lrTb"/>
            <w:noWrap w:val="false"/>
          </w:tcPr>
          <w:p>
            <w:pPr>
              <w:pStyle w:val="880"/>
              <w:jc w:val="both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Поврежден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684" w:type="dxa"/>
            <w:vAlign w:val="top"/>
            <w:textDirection w:val="lrTb"/>
            <w:noWrap w:val="false"/>
          </w:tcPr>
          <w:p>
            <w:pPr>
              <w:pStyle w:val="880"/>
              <w:jc w:val="both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15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3211" w:type="dxa"/>
            <w:vAlign w:val="top"/>
            <w:textDirection w:val="lrTb"/>
            <w:noWrap w:val="false"/>
          </w:tcPr>
          <w:p>
            <w:pPr>
              <w:pStyle w:val="880"/>
              <w:jc w:val="both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Отремонтировать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2977" w:type="dxa"/>
            <w:vAlign w:val="top"/>
            <w:textDirection w:val="lrTb"/>
            <w:noWrap w:val="false"/>
          </w:tcPr>
          <w:p>
            <w:pPr>
              <w:pStyle w:val="880"/>
              <w:jc w:val="both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Актив, материальный запас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684" w:type="dxa"/>
            <w:vAlign w:val="top"/>
            <w:textDirection w:val="lrTb"/>
            <w:noWrap w:val="false"/>
          </w:tcPr>
          <w:p>
            <w:pPr>
              <w:pStyle w:val="880"/>
              <w:jc w:val="both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55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2367" w:type="dxa"/>
            <w:vAlign w:val="top"/>
            <w:textDirection w:val="lrTb"/>
            <w:noWrap w:val="false"/>
          </w:tcPr>
          <w:p>
            <w:pPr>
              <w:pStyle w:val="880"/>
              <w:jc w:val="both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Истек срок хранения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684" w:type="dxa"/>
            <w:vAlign w:val="top"/>
            <w:textDirection w:val="lrTb"/>
            <w:noWrap w:val="false"/>
          </w:tcPr>
          <w:p>
            <w:pPr>
              <w:pStyle w:val="880"/>
              <w:jc w:val="both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16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3211" w:type="dxa"/>
            <w:vAlign w:val="top"/>
            <w:textDirection w:val="lrTb"/>
            <w:noWrap w:val="false"/>
          </w:tcPr>
          <w:p>
            <w:pPr>
              <w:pStyle w:val="880"/>
              <w:jc w:val="both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Списать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2977" w:type="dxa"/>
            <w:vAlign w:val="top"/>
            <w:textDirection w:val="lrTb"/>
            <w:noWrap w:val="false"/>
          </w:tcPr>
          <w:p>
            <w:pPr>
              <w:pStyle w:val="880"/>
              <w:jc w:val="both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Не актив, материальные ценности на хранении (забалансовый счет 02)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</w:tbl>
    <w:p>
      <w:pPr>
        <w:pStyle w:val="874"/>
        <w:jc w:val="both"/>
        <w:spacing w:after="0"/>
        <w:shd w:val="clear" w:color="auto" w:fill="ffffff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(Основание: п. 6 СГС «Обесценение актива», п. 36,80 СГС «Концептуальные основы бухучета и отчетности»).</w:t>
      </w:r>
      <w:r>
        <w:rPr>
          <w:rFonts w:ascii="Times New Roman" w:hAnsi="Times New Roman"/>
          <w:i/>
          <w:sz w:val="28"/>
          <w:szCs w:val="28"/>
        </w:rPr>
      </w:r>
      <w:r>
        <w:rPr>
          <w:rFonts w:ascii="Times New Roman" w:hAnsi="Times New Roman"/>
          <w:i/>
          <w:sz w:val="28"/>
          <w:szCs w:val="28"/>
        </w:rPr>
      </w:r>
    </w:p>
    <w:p>
      <w:pPr>
        <w:pStyle w:val="874"/>
        <w:ind w:left="64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</w:p>
    <w:p>
      <w:pPr>
        <w:pStyle w:val="874"/>
        <w:numPr>
          <w:ilvl w:val="1"/>
          <w:numId w:val="15"/>
        </w:numPr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При инвентаризации денежных средств на лицевых и банковских счетах комиссия сверяет остатки на счетах 201.11, 201.21, 201.22, 201.26, 201.27 с выписками из лицевых и банковских счетов.</w:t>
      </w: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</w:p>
    <w:p>
      <w:pPr>
        <w:pStyle w:val="87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 xml:space="preserve">Если в бухучете числятся остатки по средствам в пути (</w:t>
      </w:r>
      <w:r>
        <w:rPr>
          <w:rFonts w:ascii="Times New Roman" w:hAnsi="Times New Roman"/>
          <w:color w:val="000000"/>
          <w:sz w:val="28"/>
          <w:szCs w:val="28"/>
        </w:rPr>
        <w:t xml:space="preserve">счета 201.13, 201.23), комиссия сверяет остатки с данными подтверждающих документов – банковскими квитанциями, квитанциями почтового отделения, копиями сопроводительных ведомостей на сдачу выручки инкассаторам, слипами (чеками платежных терминалов) и т. п.</w:t>
      </w: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</w:p>
    <w:p>
      <w:pPr>
        <w:pStyle w:val="87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 xml:space="preserve">Результаты инвентаризации комиссия отражает в инвентаризационной описи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color w:val="222222"/>
          <w:sz w:val="28"/>
          <w:szCs w:val="28"/>
          <w:highlight w:val="white"/>
        </w:rPr>
        <w:t xml:space="preserve">(ф. 0510464)</w:t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pStyle w:val="874"/>
        <w:numPr>
          <w:ilvl w:val="2"/>
          <w:numId w:val="15"/>
        </w:numPr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Проверку наличных денег в кассе комиссия начинает с операционных касс, в которых ведутся расчеты через контрольно-кассовую технику. Суммы наличных денег должны соответствовать данным показателям на кассовой ленте и счетчиках кассового аппарата.</w:t>
      </w: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</w:p>
    <w:p>
      <w:pPr>
        <w:pStyle w:val="874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 xml:space="preserve">Инвентаризации подлежат:</w:t>
      </w:r>
      <w:r>
        <w:rPr>
          <w:rFonts w:ascii="Times New Roman" w:hAnsi="Times New Roman"/>
          <w:sz w:val="28"/>
          <w:szCs w:val="28"/>
        </w:rPr>
        <w:br w:type="textWrapping" w:clear="all"/>
      </w:r>
      <w:r>
        <w:rPr>
          <w:rFonts w:ascii="Times New Roman" w:hAnsi="Times New Roman"/>
          <w:color w:val="000000"/>
          <w:sz w:val="28"/>
          <w:szCs w:val="28"/>
        </w:rPr>
        <w:t xml:space="preserve">– наличные деньги;</w:t>
      </w:r>
      <w:r>
        <w:rPr>
          <w:rFonts w:ascii="Times New Roman" w:hAnsi="Times New Roman"/>
          <w:sz w:val="28"/>
          <w:szCs w:val="28"/>
        </w:rPr>
        <w:br w:type="textWrapping" w:clear="all"/>
      </w:r>
      <w:r>
        <w:rPr>
          <w:rFonts w:ascii="Times New Roman" w:hAnsi="Times New Roman"/>
          <w:color w:val="000000"/>
          <w:sz w:val="28"/>
          <w:szCs w:val="28"/>
        </w:rPr>
        <w:t xml:space="preserve">– бланки строгой отчетности;</w:t>
      </w:r>
      <w:r>
        <w:rPr>
          <w:rFonts w:ascii="Times New Roman" w:hAnsi="Times New Roman"/>
          <w:sz w:val="28"/>
          <w:szCs w:val="28"/>
        </w:rPr>
        <w:br w:type="textWrapping" w:clear="all"/>
      </w:r>
      <w:r>
        <w:rPr>
          <w:rFonts w:ascii="Times New Roman" w:hAnsi="Times New Roman"/>
          <w:color w:val="000000"/>
          <w:sz w:val="28"/>
          <w:szCs w:val="28"/>
        </w:rPr>
        <w:t xml:space="preserve">– денежные документы;</w:t>
      </w:r>
      <w:r>
        <w:rPr>
          <w:rFonts w:ascii="Times New Roman" w:hAnsi="Times New Roman"/>
          <w:sz w:val="28"/>
          <w:szCs w:val="28"/>
        </w:rPr>
        <w:br w:type="textWrapping" w:clear="all"/>
      </w:r>
      <w:r>
        <w:rPr>
          <w:rFonts w:ascii="Times New Roman" w:hAnsi="Times New Roman"/>
          <w:color w:val="000000"/>
          <w:sz w:val="28"/>
          <w:szCs w:val="28"/>
        </w:rPr>
        <w:t xml:space="preserve">– ценные бумаги.</w:t>
      </w: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</w:p>
    <w:p>
      <w:pPr>
        <w:pStyle w:val="87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 xml:space="preserve">Инвентаризация наличных денежных средств, денежных документов и бланков строгой отчетности производится путем полного (полистного) пересчета. При проверке бланков строгой отчетности комиссия фиксирует начальные и конечные номера бланков.</w:t>
      </w: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</w:p>
    <w:p>
      <w:pPr>
        <w:pStyle w:val="87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 xml:space="preserve">В ходе инвентаризации кассы комиссия:</w:t>
      </w:r>
      <w:r>
        <w:rPr>
          <w:rFonts w:ascii="Times New Roman" w:hAnsi="Times New Roman"/>
          <w:sz w:val="28"/>
          <w:szCs w:val="28"/>
        </w:rPr>
        <w:br w:type="textWrapping" w:clear="all"/>
      </w:r>
      <w:r>
        <w:rPr>
          <w:rFonts w:ascii="Times New Roman" w:hAnsi="Times New Roman"/>
          <w:color w:val="000000"/>
          <w:sz w:val="28"/>
          <w:szCs w:val="28"/>
        </w:rPr>
        <w:t xml:space="preserve">– проверяет кассовую книгу, отчеты кассира, приходные и расходные кассовые ордера, журнал регистрации приходных и расходных кассовых ордеров, доверенности на получение денег, реестр депонированных сумм и другие документы кассовой дисциплины;</w:t>
      </w:r>
      <w:r>
        <w:rPr>
          <w:rFonts w:ascii="Times New Roman" w:hAnsi="Times New Roman"/>
          <w:sz w:val="28"/>
          <w:szCs w:val="28"/>
        </w:rPr>
        <w:br w:type="textWrapping" w:clear="all"/>
      </w:r>
      <w:r>
        <w:rPr>
          <w:rFonts w:ascii="Times New Roman" w:hAnsi="Times New Roman"/>
          <w:color w:val="000000"/>
          <w:sz w:val="28"/>
          <w:szCs w:val="28"/>
        </w:rPr>
        <w:t xml:space="preserve">– сверяет суммы, оприходованные в кассу, с суммами, списанными с лицевого (расчетного) счета;</w:t>
      </w:r>
      <w:r>
        <w:rPr>
          <w:rFonts w:ascii="Times New Roman" w:hAnsi="Times New Roman"/>
          <w:sz w:val="28"/>
          <w:szCs w:val="28"/>
        </w:rPr>
        <w:br w:type="textWrapping" w:clear="all"/>
      </w:r>
      <w:r>
        <w:rPr>
          <w:rFonts w:ascii="Times New Roman" w:hAnsi="Times New Roman"/>
          <w:color w:val="000000"/>
          <w:sz w:val="28"/>
          <w:szCs w:val="28"/>
        </w:rPr>
        <w:t xml:space="preserve">– поверяет соблюдение кассиром лимита остатка наличных денежных средств, своевременность депонирования невыплаченных сумм зарплаты.</w:t>
      </w: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</w:p>
    <w:p>
      <w:pPr>
        <w:pStyle w:val="87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 xml:space="preserve">Результаты инвентаризации наличных денежных средств комиссия отражает в инвентаризационной описи </w:t>
      </w:r>
      <w:r>
        <w:rPr>
          <w:rFonts w:ascii="Times New Roman" w:hAnsi="Times New Roman" w:eastAsia="Times New Roman" w:cs="Times New Roman"/>
          <w:color w:val="222222"/>
          <w:sz w:val="28"/>
          <w:szCs w:val="28"/>
          <w:highlight w:val="white"/>
        </w:rPr>
        <w:t xml:space="preserve">(ф. 0510467)</w:t>
      </w:r>
      <w:r>
        <w:rPr>
          <w:rFonts w:ascii="Times New Roman" w:hAnsi="Times New Roman"/>
          <w:color w:val="000000"/>
          <w:sz w:val="28"/>
          <w:szCs w:val="28"/>
        </w:rPr>
        <w:t xml:space="preserve">. Результаты инвентаризации денежных документов и бланков строгой отчетности – в инвентаризационной описи </w:t>
      </w:r>
      <w:r>
        <w:rPr>
          <w:rFonts w:ascii="Arial" w:hAnsi="Arial" w:eastAsia="Arial" w:cs="Arial"/>
          <w:color w:val="222222"/>
          <w:sz w:val="21"/>
          <w:highlight w:val="white"/>
        </w:rPr>
        <w:t xml:space="preserve">(</w:t>
      </w:r>
      <w:r>
        <w:rPr>
          <w:rFonts w:ascii="Times New Roman" w:hAnsi="Times New Roman" w:eastAsia="Times New Roman" w:cs="Times New Roman"/>
          <w:color w:val="222222"/>
          <w:sz w:val="28"/>
          <w:szCs w:val="28"/>
          <w:highlight w:val="white"/>
        </w:rPr>
        <w:t xml:space="preserve">ф. 0510465).</w:t>
      </w: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</w:p>
    <w:p>
      <w:pPr>
        <w:pStyle w:val="87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3.4. </w:t>
      </w:r>
      <w:r>
        <w:rPr>
          <w:rFonts w:ascii="Times New Roman" w:hAnsi="Times New Roman"/>
          <w:color w:val="000000"/>
          <w:sz w:val="28"/>
          <w:szCs w:val="28"/>
        </w:rPr>
        <w:t xml:space="preserve">При инвентаризации полученного в аренду имущества комиссия</w:t>
      </w:r>
      <w:r>
        <w:rPr>
          <w:rFonts w:ascii="Times New Roman" w:hAnsi="Times New Roman"/>
          <w:color w:val="000000"/>
          <w:sz w:val="28"/>
          <w:szCs w:val="28"/>
        </w:rPr>
        <w:t xml:space="preserve"> проверяет сохранность имущества, а также проверяет документы на право аренды: договор аренды, акт приема-передачи. Цена договора сверяется с данными бухгалтерского учета. Результаты инвентаризации комиссия отражает в инвентаризационной описи </w:t>
      </w:r>
      <w:r>
        <w:rPr>
          <w:rFonts w:ascii="Times New Roman" w:hAnsi="Times New Roman" w:eastAsia="Times New Roman" w:cs="Times New Roman"/>
          <w:color w:val="222222"/>
          <w:sz w:val="28"/>
          <w:szCs w:val="28"/>
          <w:highlight w:val="white"/>
        </w:rPr>
        <w:t xml:space="preserve">(ф. 0510466)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.</w:t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pStyle w:val="87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3.5. </w:t>
      </w:r>
      <w:r>
        <w:rPr>
          <w:rFonts w:ascii="Times New Roman" w:hAnsi="Times New Roman"/>
          <w:color w:val="000000"/>
          <w:sz w:val="28"/>
          <w:szCs w:val="28"/>
        </w:rPr>
        <w:t xml:space="preserve">Инвентаризацию расчетов с дебиторами и кредиторами комиссия проводит методом подтверждения, выверки (интеграции) с учетом следующих особенностей:</w:t>
      </w:r>
      <w:r>
        <w:rPr>
          <w:rFonts w:ascii="Times New Roman" w:hAnsi="Times New Roman"/>
          <w:sz w:val="28"/>
          <w:szCs w:val="28"/>
        </w:rPr>
        <w:br w:type="textWrapping" w:clear="all"/>
      </w:r>
      <w:r>
        <w:rPr>
          <w:rFonts w:ascii="Times New Roman" w:hAnsi="Times New Roman"/>
          <w:color w:val="000000"/>
          <w:sz w:val="28"/>
          <w:szCs w:val="28"/>
        </w:rPr>
        <w:t xml:space="preserve">– определяет сроки возникновения задолженности;</w:t>
      </w:r>
      <w:r>
        <w:rPr>
          <w:rFonts w:ascii="Times New Roman" w:hAnsi="Times New Roman"/>
          <w:sz w:val="28"/>
          <w:szCs w:val="28"/>
        </w:rPr>
        <w:br w:type="textWrapping" w:clear="all"/>
      </w:r>
      <w:r>
        <w:rPr>
          <w:rFonts w:ascii="Times New Roman" w:hAnsi="Times New Roman"/>
          <w:color w:val="000000"/>
          <w:sz w:val="28"/>
          <w:szCs w:val="28"/>
        </w:rPr>
        <w:t xml:space="preserve">– выявляет суммы невыплаченной зарплаты (депонированные суммы), а также переплаты сотрудникам;</w:t>
      </w:r>
      <w:r>
        <w:rPr>
          <w:rFonts w:ascii="Times New Roman" w:hAnsi="Times New Roman"/>
          <w:sz w:val="28"/>
          <w:szCs w:val="28"/>
        </w:rPr>
        <w:br w:type="textWrapping" w:clear="all"/>
      </w:r>
      <w:r>
        <w:rPr>
          <w:rFonts w:ascii="Times New Roman" w:hAnsi="Times New Roman"/>
          <w:color w:val="000000"/>
          <w:sz w:val="28"/>
          <w:szCs w:val="28"/>
        </w:rPr>
        <w:t xml:space="preserve">– сверяет данные бухучета с суммами в актах сверки с покупателями (заказчиками) и поставщиками (исполнителями, подрядчиками), а также с бюджетом и внебюджетными фондами – по налогам и взносам;</w:t>
      </w:r>
      <w:r>
        <w:rPr>
          <w:rFonts w:ascii="Times New Roman" w:hAnsi="Times New Roman"/>
          <w:sz w:val="28"/>
          <w:szCs w:val="28"/>
        </w:rPr>
        <w:br w:type="textWrapping" w:clear="all"/>
      </w:r>
      <w:r>
        <w:rPr>
          <w:rFonts w:ascii="Times New Roman" w:hAnsi="Times New Roman"/>
          <w:color w:val="000000"/>
          <w:sz w:val="28"/>
          <w:szCs w:val="28"/>
        </w:rPr>
        <w:t xml:space="preserve">– проверяет обоснованность задолженности по недостачам, хищениям и ущербам;</w:t>
      </w:r>
      <w:r>
        <w:rPr>
          <w:rFonts w:ascii="Times New Roman" w:hAnsi="Times New Roman"/>
          <w:sz w:val="28"/>
          <w:szCs w:val="28"/>
        </w:rPr>
        <w:br w:type="textWrapping" w:clear="all"/>
      </w:r>
      <w:r>
        <w:rPr>
          <w:rFonts w:ascii="Times New Roman" w:hAnsi="Times New Roman"/>
          <w:color w:val="000000"/>
          <w:sz w:val="28"/>
          <w:szCs w:val="28"/>
        </w:rPr>
        <w:t xml:space="preserve">– выявляет кредиторскую задолженность, не востребованную кредиторами, а также дебиторскую задолженность, безнадежную к взысканию и сомнительную в соответствии с положением о задолженности.</w:t>
      </w: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</w:p>
    <w:p>
      <w:pPr>
        <w:pStyle w:val="87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 xml:space="preserve">В случае ведения бухгалтерского учета по группе плательщиков (кредиторов), инвентаризация проводится путем сверки персонифицированных данных управленческого учета, к составу аналитических признаков задолженности и данных на балансо</w:t>
      </w:r>
      <w:r>
        <w:rPr>
          <w:rFonts w:ascii="Times New Roman" w:hAnsi="Times New Roman"/>
          <w:color w:val="000000"/>
          <w:sz w:val="28"/>
          <w:szCs w:val="28"/>
        </w:rPr>
        <w:t xml:space="preserve">вых счетах по соответствующим группам плательщиков (кредиторов). Информация о задолженности конкретных должников (кредиторов) и аналитических признаках отражается в документах инвентаризации на основании данных персонифицированного (управленческого) учета.</w:t>
      </w: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</w:p>
    <w:p>
      <w:pPr>
        <w:pStyle w:val="87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 xml:space="preserve">Результаты инвентаризации комиссия отражает в инвентаризационной описи </w:t>
      </w:r>
      <w:r>
        <w:rPr>
          <w:rFonts w:ascii="Times New Roman" w:hAnsi="Times New Roman" w:eastAsia="Times New Roman" w:cs="Times New Roman"/>
          <w:color w:val="222222"/>
          <w:sz w:val="28"/>
          <w:szCs w:val="28"/>
          <w:highlight w:val="white"/>
        </w:rPr>
        <w:t xml:space="preserve">(ф. 0510469).</w:t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pStyle w:val="87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3.6</w:t>
      </w:r>
      <w:r>
        <w:rPr>
          <w:rFonts w:ascii="Times New Roman" w:hAnsi="Times New Roman"/>
          <w:color w:val="000000"/>
          <w:sz w:val="28"/>
          <w:szCs w:val="28"/>
        </w:rPr>
        <w:t xml:space="preserve">. При инвентаризации расходов будущих периодов комиссия проверяет:</w:t>
      </w:r>
      <w:r>
        <w:rPr>
          <w:rFonts w:ascii="Times New Roman" w:hAnsi="Times New Roman"/>
          <w:sz w:val="28"/>
          <w:szCs w:val="28"/>
        </w:rPr>
        <w:br w:type="textWrapping" w:clear="all"/>
      </w:r>
      <w:r>
        <w:rPr>
          <w:rFonts w:ascii="Times New Roman" w:hAnsi="Times New Roman"/>
          <w:color w:val="000000"/>
          <w:sz w:val="28"/>
          <w:szCs w:val="28"/>
        </w:rPr>
        <w:t xml:space="preserve">– суммы расходов из документов, подтверждающих расходы будущих периодов, – счетов, актов, договоров, накладных;</w:t>
      </w:r>
      <w:r>
        <w:rPr>
          <w:rFonts w:ascii="Times New Roman" w:hAnsi="Times New Roman"/>
          <w:sz w:val="28"/>
          <w:szCs w:val="28"/>
        </w:rPr>
        <w:br w:type="textWrapping" w:clear="all"/>
      </w:r>
      <w:r>
        <w:rPr>
          <w:rFonts w:ascii="Times New Roman" w:hAnsi="Times New Roman"/>
          <w:color w:val="000000"/>
          <w:sz w:val="28"/>
          <w:szCs w:val="28"/>
        </w:rPr>
        <w:t xml:space="preserve">– соответствие периода учета расходов периоду, который установлен в учетной политике;</w:t>
      </w:r>
      <w:r>
        <w:rPr>
          <w:rFonts w:ascii="Times New Roman" w:hAnsi="Times New Roman"/>
          <w:sz w:val="28"/>
          <w:szCs w:val="28"/>
        </w:rPr>
        <w:br w:type="textWrapping" w:clear="all"/>
      </w:r>
      <w:r>
        <w:rPr>
          <w:rFonts w:ascii="Times New Roman" w:hAnsi="Times New Roman"/>
          <w:color w:val="000000"/>
          <w:sz w:val="28"/>
          <w:szCs w:val="28"/>
        </w:rPr>
        <w:t xml:space="preserve">– правильность сумм, списываемых на расходы текущего года.</w:t>
      </w: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</w:p>
    <w:p>
      <w:pPr>
        <w:pStyle w:val="87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 xml:space="preserve">Результаты инвентаризации комиссия отражает </w:t>
      </w:r>
      <w:r>
        <w:rPr>
          <w:rFonts w:ascii="Times New Roman" w:hAnsi="Times New Roman"/>
          <w:color w:val="000000"/>
          <w:sz w:val="28"/>
          <w:szCs w:val="28"/>
        </w:rPr>
        <w:t xml:space="preserve">в акте инвентаризации резервов, которого утверждена в учетной политике учреждения</w:t>
      </w:r>
      <w:r>
        <w:rPr>
          <w:rFonts w:ascii="Times New Roman" w:hAnsi="Times New Roman"/>
          <w:color w:val="000000"/>
          <w:sz w:val="28"/>
          <w:szCs w:val="28"/>
        </w:rPr>
        <w:t xml:space="preserve">.</w:t>
      </w: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</w:p>
    <w:p>
      <w:pPr>
        <w:pStyle w:val="87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3.7</w:t>
      </w:r>
      <w:r>
        <w:rPr>
          <w:rFonts w:ascii="Times New Roman" w:hAnsi="Times New Roman"/>
          <w:color w:val="000000"/>
          <w:sz w:val="28"/>
          <w:szCs w:val="28"/>
        </w:rPr>
        <w:t xml:space="preserve">. Инвентаризацию резервов и объектов в условных оценках комиссия проводит методом расчетов. При инвентаризации резервов предстоящих расходов комиссия проверяет правильность их расчета и обоснованность создания.</w:t>
      </w: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</w:p>
    <w:p>
      <w:pPr>
        <w:pStyle w:val="87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 xml:space="preserve">В части резерва на оплату отпусков проверяются:</w:t>
      </w:r>
      <w:r>
        <w:rPr>
          <w:rFonts w:ascii="Times New Roman" w:hAnsi="Times New Roman"/>
          <w:sz w:val="28"/>
          <w:szCs w:val="28"/>
        </w:rPr>
        <w:br w:type="textWrapping" w:clear="all"/>
      </w:r>
      <w:r>
        <w:rPr>
          <w:rFonts w:ascii="Times New Roman" w:hAnsi="Times New Roman"/>
          <w:color w:val="000000"/>
          <w:sz w:val="28"/>
          <w:szCs w:val="28"/>
        </w:rPr>
        <w:t xml:space="preserve">– количество дней неиспользованного отпуска;</w:t>
      </w:r>
      <w:r>
        <w:rPr>
          <w:rFonts w:ascii="Times New Roman" w:hAnsi="Times New Roman"/>
          <w:sz w:val="28"/>
          <w:szCs w:val="28"/>
        </w:rPr>
        <w:br w:type="textWrapping" w:clear="all"/>
      </w:r>
      <w:r>
        <w:rPr>
          <w:rFonts w:ascii="Times New Roman" w:hAnsi="Times New Roman"/>
          <w:color w:val="000000"/>
          <w:sz w:val="28"/>
          <w:szCs w:val="28"/>
        </w:rPr>
        <w:t xml:space="preserve">– среднедневная сумма расходов на оплату труда;</w:t>
      </w:r>
      <w:r>
        <w:rPr>
          <w:rFonts w:ascii="Times New Roman" w:hAnsi="Times New Roman"/>
          <w:sz w:val="28"/>
          <w:szCs w:val="28"/>
        </w:rPr>
        <w:br w:type="textWrapping" w:clear="all"/>
      </w:r>
      <w:r>
        <w:rPr>
          <w:rFonts w:ascii="Times New Roman" w:hAnsi="Times New Roman"/>
          <w:color w:val="000000"/>
          <w:sz w:val="28"/>
          <w:szCs w:val="28"/>
        </w:rPr>
        <w:t xml:space="preserve">– сумма отчислений на обязательное пенсионное, социальное, медицинское страхование и на страхование от несчастных случаев и профзаболеваний.</w:t>
      </w: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</w:p>
    <w:p>
      <w:pPr>
        <w:pStyle w:val="87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 xml:space="preserve">Результаты инвентаризации комиссия отражает в акте инвентаризации резервов, которого утверждена в учетной политике учреждения.</w:t>
      </w: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</w:p>
    <w:p>
      <w:pPr>
        <w:pStyle w:val="87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3.8</w:t>
      </w:r>
      <w:r>
        <w:rPr>
          <w:rFonts w:ascii="Times New Roman" w:hAnsi="Times New Roman"/>
          <w:color w:val="000000"/>
          <w:sz w:val="28"/>
          <w:szCs w:val="28"/>
        </w:rPr>
        <w:t xml:space="preserve">. При инвентаризации доходов будущих периодов комиссия проверяет правомерность отнесения полученных доходов к доходам будущих периодов. </w:t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 xml:space="preserve">К доходам будущих периодов относятся в том числе:</w:t>
      </w:r>
      <w:r>
        <w:rPr>
          <w:rFonts w:ascii="Times New Roman" w:hAnsi="Times New Roman"/>
          <w:sz w:val="28"/>
          <w:szCs w:val="28"/>
        </w:rPr>
        <w:br w:type="textWrapping" w:clear="all"/>
      </w:r>
      <w:r>
        <w:rPr>
          <w:rFonts w:ascii="Times New Roman" w:hAnsi="Times New Roman"/>
          <w:color w:val="000000"/>
          <w:sz w:val="28"/>
          <w:szCs w:val="28"/>
        </w:rPr>
        <w:t xml:space="preserve">– доходы от платных образовательных услуг</w:t>
      </w:r>
      <w:r>
        <w:rPr>
          <w:rFonts w:ascii="Times New Roman" w:hAnsi="Times New Roman"/>
          <w:color w:val="000000"/>
          <w:sz w:val="28"/>
          <w:szCs w:val="28"/>
        </w:rPr>
        <w:t xml:space="preserve">;</w:t>
      </w:r>
      <w:r>
        <w:rPr>
          <w:rFonts w:ascii="Times New Roman" w:hAnsi="Times New Roman"/>
          <w:sz w:val="28"/>
          <w:szCs w:val="28"/>
        </w:rPr>
        <w:br w:type="textWrapping" w:clear="all"/>
      </w:r>
      <w:r>
        <w:rPr>
          <w:rFonts w:ascii="Times New Roman" w:hAnsi="Times New Roman"/>
          <w:color w:val="000000"/>
          <w:sz w:val="28"/>
          <w:szCs w:val="28"/>
        </w:rPr>
        <w:t xml:space="preserve">– суммы субсидии на финансовое обеспечение государственного задания по соглашению, которое подписано в текущем году на будущий год.</w:t>
      </w: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</w:p>
    <w:p>
      <w:pPr>
        <w:pStyle w:val="87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 xml:space="preserve">Также проверяется правильность формирования оценки доходов будущих периодов. При инвентаризации, проводимой перед годовой отчетностью, проверяется обоснованность наличия остатков.</w:t>
      </w: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</w:p>
    <w:p>
      <w:pPr>
        <w:pStyle w:val="87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 xml:space="preserve">Результаты инвентаризации комиссия отражает в акте инвентаризации доходов будущих периодов, форма которого утверждена в учетной политике учреждения.</w:t>
      </w: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</w:p>
    <w:p>
      <w:pPr>
        <w:pStyle w:val="700"/>
        <w:ind w:left="0" w:right="0" w:firstLine="0"/>
        <w:jc w:val="both"/>
        <w:spacing w:before="375" w:after="150" w:line="69" w:lineRule="atLeast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 w:themeColor="text1"/>
          <w:sz w:val="28"/>
          <w:szCs w:val="28"/>
        </w:rPr>
        <w:t xml:space="preserve">4. Особенности выборочной инвентаризации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ind w:left="0" w:righ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4.1. Выборочная инвентаризация затрагивает только некоторое имущество, активы, обязательства и некоторых ответственных лиц. Объекты для выборочной инвентаризации указываются в Решении о проведении инвентаризации (ф. 0510439). 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ind w:left="0" w:righ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4.2. Выборочная инвентаризация проводится в сроки, указанные в графике проведения инвентаризации.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ind w:left="0" w:righ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4.3. Выборочную инвентаризацию проводит к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омиссия по поступлению и выбытию активов в следующих случаях: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pStyle w:val="714"/>
        <w:numPr>
          <w:ilvl w:val="0"/>
          <w:numId w:val="16"/>
        </w:numPr>
        <w:ind w:right="0"/>
        <w:jc w:val="both"/>
        <w:spacing w:before="0" w:after="0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инвентаризация дебиторской и кредиторской задолженности;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pStyle w:val="714"/>
        <w:numPr>
          <w:ilvl w:val="0"/>
          <w:numId w:val="16"/>
        </w:numPr>
        <w:ind w:right="0"/>
        <w:jc w:val="both"/>
        <w:spacing w:before="0" w:after="0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инвентаризация имущества в целях списания.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ind w:left="0" w:right="0"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В остальных случаях, в том числе в целя контроля состояния имущества, после чрезвычайных ситуаций, выборочную инвентаризацию проводит инвентаризационная комиссия.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ind w:left="0" w:right="0"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Во время инвентаризации средства индивидуальной защиты комиссия выявляет изношенные и неисправные СИЗ, контролирует соблюдение норм выдачи и соответствие требованиям охраны труда.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ind w:left="0" w:right="0"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Во время инвентаризации имущества, предназначенного в аренду или прокат, комиссия проверяет его состояние и соблюдение условий использования.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pStyle w:val="874"/>
        <w:jc w:val="center"/>
        <w:rPr>
          <w:rFonts w:ascii="Times New Roman" w:hAnsi="Times New Roman"/>
          <w:b/>
          <w:bCs/>
          <w:color w:val="252525"/>
          <w:spacing w:val="-2"/>
          <w:sz w:val="28"/>
          <w:szCs w:val="28"/>
        </w:rPr>
      </w:pPr>
      <w:r>
        <w:rPr>
          <w:rFonts w:ascii="Times New Roman" w:hAnsi="Times New Roman"/>
          <w:b/>
          <w:bCs/>
          <w:color w:val="252525"/>
          <w:spacing w:val="-2"/>
          <w:sz w:val="28"/>
          <w:szCs w:val="28"/>
        </w:rPr>
      </w:r>
      <w:r>
        <w:rPr>
          <w:rFonts w:ascii="Times New Roman" w:hAnsi="Times New Roman"/>
          <w:b/>
          <w:bCs/>
          <w:color w:val="252525"/>
          <w:spacing w:val="-2"/>
          <w:sz w:val="28"/>
          <w:szCs w:val="28"/>
        </w:rPr>
      </w:r>
      <w:r>
        <w:rPr>
          <w:rFonts w:ascii="Times New Roman" w:hAnsi="Times New Roman"/>
          <w:b/>
          <w:bCs/>
          <w:color w:val="252525"/>
          <w:spacing w:val="-2"/>
          <w:sz w:val="28"/>
          <w:szCs w:val="28"/>
        </w:rPr>
      </w:r>
    </w:p>
    <w:p>
      <w:pPr>
        <w:pStyle w:val="874"/>
        <w:jc w:val="center"/>
        <w:rPr>
          <w:rFonts w:ascii="Times New Roman" w:hAnsi="Times New Roman"/>
          <w:b/>
          <w:bCs/>
          <w:color w:val="252525"/>
          <w:spacing w:val="-2"/>
          <w:sz w:val="28"/>
          <w:szCs w:val="28"/>
        </w:rPr>
      </w:pPr>
      <w:r>
        <w:rPr>
          <w:rFonts w:ascii="Times New Roman" w:hAnsi="Times New Roman"/>
          <w:b/>
          <w:bCs/>
          <w:color w:val="252525"/>
          <w:spacing w:val="-2"/>
          <w:sz w:val="28"/>
          <w:szCs w:val="28"/>
        </w:rPr>
        <w:t xml:space="preserve">5. Оформление результатов инвентаризации</w:t>
      </w:r>
      <w:r>
        <w:rPr>
          <w:rFonts w:ascii="Times New Roman" w:hAnsi="Times New Roman"/>
          <w:b/>
          <w:bCs/>
          <w:color w:val="252525"/>
          <w:spacing w:val="-2"/>
          <w:sz w:val="28"/>
          <w:szCs w:val="28"/>
        </w:rPr>
      </w:r>
      <w:r>
        <w:rPr>
          <w:rFonts w:ascii="Times New Roman" w:hAnsi="Times New Roman"/>
          <w:b/>
          <w:bCs/>
          <w:color w:val="252525"/>
          <w:spacing w:val="-2"/>
          <w:sz w:val="28"/>
          <w:szCs w:val="28"/>
        </w:rPr>
      </w:r>
    </w:p>
    <w:p>
      <w:pPr>
        <w:pStyle w:val="87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5.1. Правильно оформленные инвентаризационной комиссией и подписанные всеми ее членами и ответственными лицами инвен</w:t>
      </w:r>
      <w:r>
        <w:rPr>
          <w:rFonts w:ascii="Times New Roman" w:hAnsi="Times New Roman"/>
          <w:color w:val="000000"/>
          <w:sz w:val="28"/>
          <w:szCs w:val="28"/>
        </w:rPr>
        <w:t xml:space="preserve">таризационные описи (сличительные ведомости), акты о результатах инвентаризации передаются в бухгалтерию для выверки данных фактического наличия имущественно-материальных и других ценностей, финансовых активов и обязательств с данными бухгалтерского учета.</w:t>
      </w: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</w:p>
    <w:p>
      <w:pPr>
        <w:pStyle w:val="87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5.2. Выявленные расхождения в инвентаризационных описях (сличительных ведомостях) обобщаютс</w:t>
      </w:r>
      <w:r>
        <w:rPr>
          <w:rFonts w:ascii="Times New Roman" w:hAnsi="Times New Roman"/>
          <w:color w:val="000000"/>
          <w:sz w:val="28"/>
          <w:szCs w:val="28"/>
        </w:rPr>
        <w:t xml:space="preserve">я в ведомости расхождений по результатам инвентаризации (ф. 0510463). В этом случае она будет приложением к акту о результатах инвентаризации (ф. 0504835). Акт подписывается всеми членами инвентаризационной комиссии и утверждается руководителем учреждения.</w:t>
      </w: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</w:p>
    <w:p>
      <w:pPr>
        <w:pStyle w:val="87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5.3. После завершения инвентаризации выявленные расхождения (неучтенные объекты, недостачи) должны быть отражены в бухгалтерском учете, а при необходимости материалы направлены в судебные органы для предъявления гражданского иска.</w:t>
      </w: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</w:p>
    <w:p>
      <w:pPr>
        <w:pStyle w:val="87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5.4. Результаты инвентаризации отражаются в бухгалтерском учете и отчетности того месяца, в котором была закончена инвентаризация, а по годовой инвентаризации – </w:t>
      </w:r>
      <w:r>
        <w:rPr>
          <w:rFonts w:ascii="Times New Roman" w:hAnsi="Times New Roman"/>
          <w:color w:val="000000"/>
          <w:sz w:val="28"/>
          <w:szCs w:val="28"/>
        </w:rPr>
        <w:t xml:space="preserve">31 декабря отчетного года.</w:t>
      </w: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</w:p>
    <w:p>
      <w:pPr>
        <w:pStyle w:val="87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5.5. На суммы выявленных излишков, недостач основных средств, нематериальных активов, материальных запасов инвентаризационная комиссия требует объяснение с ответственного лица по причинам расхожд</w:t>
      </w:r>
      <w:r>
        <w:rPr>
          <w:rFonts w:ascii="Times New Roman" w:hAnsi="Times New Roman"/>
          <w:color w:val="000000"/>
          <w:sz w:val="28"/>
          <w:szCs w:val="28"/>
        </w:rPr>
        <w:t xml:space="preserve">ений с данными бухгалтерского учета. В случае недостачи или порчи имущества комиссия оценивает, в том числе на основе объяснений ответственного лица, имеются ли основания для возмещения недостачи или ущерба. Результат оценки указывается в решении комиссии.</w:t>
      </w:r>
      <w:r>
        <w:rPr>
          <w:rFonts w:ascii="Times New Roman" w:hAnsi="Times New Roman"/>
          <w:sz w:val="28"/>
          <w:szCs w:val="28"/>
        </w:rPr>
        <w:br w:type="textWrapping" w:clear="all"/>
      </w:r>
      <w:r>
        <w:rPr>
          <w:rFonts w:ascii="Times New Roman" w:hAnsi="Times New Roman"/>
          <w:color w:val="000000"/>
          <w:sz w:val="28"/>
          <w:szCs w:val="28"/>
        </w:rPr>
        <w:t xml:space="preserve">Основание: подпункт «б» пункта 24 приложения № 1 к СГС «Учетная политика, оценочные значения и ошибки».</w:t>
      </w: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</w:p>
    <w:p>
      <w:pPr>
        <w:pStyle w:val="874"/>
        <w:jc w:val="center"/>
        <w:rPr>
          <w:rFonts w:ascii="Times New Roman" w:hAnsi="Times New Roman"/>
          <w:b/>
          <w:bCs/>
          <w:color w:val="252525"/>
          <w:spacing w:val="-2"/>
          <w:sz w:val="28"/>
          <w:szCs w:val="28"/>
        </w:rPr>
      </w:pPr>
      <w:r>
        <w:rPr>
          <w:rFonts w:ascii="Times New Roman" w:hAnsi="Times New Roman"/>
          <w:b/>
          <w:bCs/>
          <w:color w:val="252525"/>
          <w:spacing w:val="-2"/>
          <w:sz w:val="28"/>
          <w:szCs w:val="28"/>
        </w:rPr>
        <w:t xml:space="preserve">5</w:t>
      </w:r>
      <w:r>
        <w:rPr>
          <w:rFonts w:ascii="Times New Roman" w:hAnsi="Times New Roman"/>
          <w:b/>
          <w:bCs/>
          <w:color w:val="252525"/>
          <w:spacing w:val="-2"/>
          <w:sz w:val="28"/>
          <w:szCs w:val="28"/>
        </w:rPr>
        <w:t xml:space="preserve">. График проведения инвентаризации</w:t>
      </w:r>
      <w:r>
        <w:rPr>
          <w:rFonts w:ascii="Times New Roman" w:hAnsi="Times New Roman"/>
          <w:b/>
          <w:bCs/>
          <w:color w:val="252525"/>
          <w:spacing w:val="-2"/>
          <w:sz w:val="28"/>
          <w:szCs w:val="28"/>
        </w:rPr>
      </w:r>
      <w:r>
        <w:rPr>
          <w:rFonts w:ascii="Times New Roman" w:hAnsi="Times New Roman"/>
          <w:b/>
          <w:bCs/>
          <w:color w:val="252525"/>
          <w:spacing w:val="-2"/>
          <w:sz w:val="28"/>
          <w:szCs w:val="28"/>
        </w:rPr>
      </w:r>
    </w:p>
    <w:p>
      <w:pPr>
        <w:pStyle w:val="87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Инвентаризация проводится со следующей периодичностью и в сроки:</w:t>
      </w: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</w:p>
    <w:tbl>
      <w:tblPr>
        <w:tblW w:w="9027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left w:w="15" w:type="dxa"/>
          <w:top w:w="15" w:type="dxa"/>
          <w:right w:w="15" w:type="dxa"/>
          <w:bottom w:w="15" w:type="dxa"/>
        </w:tblCellMar>
        <w:tblLook w:val="0600" w:firstRow="0" w:lastRow="0" w:firstColumn="0" w:lastColumn="0" w:noHBand="1" w:noVBand="1"/>
      </w:tblPr>
      <w:tblGrid>
        <w:gridCol w:w="724"/>
        <w:gridCol w:w="2888"/>
        <w:gridCol w:w="2978"/>
        <w:gridCol w:w="243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Mar>
              <w:left w:w="75" w:type="dxa"/>
              <w:top w:w="75" w:type="dxa"/>
              <w:right w:w="75" w:type="dxa"/>
              <w:bottom w:w="75" w:type="dxa"/>
            </w:tcMar>
            <w:tcW w:w="724" w:type="auto"/>
            <w:vAlign w:val="top"/>
            <w:textDirection w:val="lrTb"/>
            <w:noWrap w:val="false"/>
          </w:tcPr>
          <w:p>
            <w:pPr>
              <w:pStyle w:val="87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№</w:t>
            </w:r>
            <w:r>
              <w:rPr>
                <w:rFonts w:ascii="Times New Roman" w:hAnsi="Times New Roman"/>
                <w:sz w:val="28"/>
                <w:szCs w:val="28"/>
              </w:rPr>
              <w:br w:type="textWrapping" w:clear="all"/>
            </w: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п/п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Mar>
              <w:left w:w="75" w:type="dxa"/>
              <w:top w:w="75" w:type="dxa"/>
              <w:right w:w="75" w:type="dxa"/>
              <w:bottom w:w="75" w:type="dxa"/>
            </w:tcMar>
            <w:tcW w:w="2888" w:type="dxa"/>
            <w:vAlign w:val="top"/>
            <w:textDirection w:val="lrTb"/>
            <w:noWrap w:val="false"/>
          </w:tcPr>
          <w:p>
            <w:pPr>
              <w:pStyle w:val="87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Наименование объектов</w:t>
            </w:r>
            <w:r>
              <w:rPr>
                <w:rFonts w:ascii="Times New Roman" w:hAnsi="Times New Roman"/>
                <w:sz w:val="28"/>
                <w:szCs w:val="28"/>
              </w:rPr>
              <w:br w:type="textWrapping" w:clear="all"/>
            </w: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инвентаризации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Mar>
              <w:left w:w="75" w:type="dxa"/>
              <w:top w:w="75" w:type="dxa"/>
              <w:right w:w="75" w:type="dxa"/>
              <w:bottom w:w="75" w:type="dxa"/>
            </w:tcMar>
            <w:tcW w:w="2978" w:type="dxa"/>
            <w:vAlign w:val="top"/>
            <w:textDirection w:val="lrTb"/>
            <w:noWrap w:val="false"/>
          </w:tcPr>
          <w:p>
            <w:pPr>
              <w:pStyle w:val="87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Сроки проведения</w:t>
            </w:r>
            <w:r>
              <w:rPr>
                <w:rFonts w:ascii="Times New Roman" w:hAnsi="Times New Roman"/>
                <w:sz w:val="28"/>
                <w:szCs w:val="28"/>
              </w:rPr>
              <w:br w:type="textWrapping" w:clear="all"/>
            </w: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инвентаризации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Mar>
              <w:left w:w="75" w:type="dxa"/>
              <w:top w:w="75" w:type="dxa"/>
              <w:right w:w="75" w:type="dxa"/>
              <w:bottom w:w="75" w:type="dxa"/>
            </w:tcMar>
            <w:tcW w:w="2437" w:type="dxa"/>
            <w:vAlign w:val="top"/>
            <w:textDirection w:val="lrTb"/>
            <w:noWrap w:val="false"/>
          </w:tcPr>
          <w:p>
            <w:pPr>
              <w:pStyle w:val="87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Период проведения</w:t>
            </w:r>
            <w:r>
              <w:rPr>
                <w:rFonts w:ascii="Times New Roman" w:hAnsi="Times New Roman"/>
                <w:sz w:val="28"/>
                <w:szCs w:val="28"/>
              </w:rPr>
              <w:br w:type="textWrapping" w:clear="all"/>
            </w: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инвентаризации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Mar>
              <w:left w:w="75" w:type="dxa"/>
              <w:top w:w="75" w:type="dxa"/>
              <w:right w:w="75" w:type="dxa"/>
              <w:bottom w:w="75" w:type="dxa"/>
            </w:tcMar>
            <w:tcW w:w="724" w:type="auto"/>
            <w:vAlign w:val="top"/>
            <w:textDirection w:val="lrTb"/>
            <w:noWrap w:val="false"/>
          </w:tcPr>
          <w:p>
            <w:pPr>
              <w:pStyle w:val="87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Mar>
              <w:left w:w="75" w:type="dxa"/>
              <w:top w:w="75" w:type="dxa"/>
              <w:right w:w="75" w:type="dxa"/>
              <w:bottom w:w="75" w:type="dxa"/>
            </w:tcMar>
            <w:tcW w:w="2888" w:type="dxa"/>
            <w:vAlign w:val="top"/>
            <w:textDirection w:val="lrTb"/>
            <w:noWrap w:val="false"/>
          </w:tcPr>
          <w:p>
            <w:pPr>
              <w:pStyle w:val="87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Нефинансовые активы</w:t>
            </w:r>
            <w:r>
              <w:rPr>
                <w:rFonts w:ascii="Times New Roman" w:hAnsi="Times New Roman"/>
                <w:sz w:val="28"/>
                <w:szCs w:val="28"/>
              </w:rPr>
              <w:br w:type="textWrapping" w:clear="all"/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(основные средства,</w:t>
            </w:r>
            <w:r>
              <w:rPr>
                <w:rFonts w:ascii="Times New Roman" w:hAnsi="Times New Roman"/>
                <w:sz w:val="28"/>
                <w:szCs w:val="28"/>
              </w:rPr>
              <w:br w:type="textWrapping" w:clear="all"/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нематериальные активы, непроизведенные активы, капитальные вложения)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Mar>
              <w:left w:w="75" w:type="dxa"/>
              <w:top w:w="75" w:type="dxa"/>
              <w:right w:w="75" w:type="dxa"/>
              <w:bottom w:w="75" w:type="dxa"/>
            </w:tcMar>
            <w:tcW w:w="2978" w:type="dxa"/>
            <w:vAlign w:val="top"/>
            <w:textDirection w:val="lrTb"/>
            <w:noWrap w:val="false"/>
          </w:tcPr>
          <w:p>
            <w:pPr>
              <w:pStyle w:val="874"/>
              <w:jc w:val="left"/>
              <w:rPr>
                <w:rFonts w:ascii="Times New Roman" w:hAnsi="Times New Roman"/>
                <w:color w:val="000000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Ежегодно на 01 ноября:</w:t>
              <w:br/>
              <w:t xml:space="preserve">- ОЦДИ;</w:t>
              <w:br/>
              <w:t xml:space="preserve">- капвложения, по которым не было движения в течении финансового года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highlight w:val="none"/>
              </w:rPr>
            </w:r>
            <w:r>
              <w:rPr>
                <w:rFonts w:ascii="Times New Roman" w:hAnsi="Times New Roman"/>
                <w:color w:val="000000"/>
                <w:sz w:val="28"/>
                <w:szCs w:val="28"/>
                <w:highlight w:val="none"/>
              </w:rPr>
            </w:r>
          </w:p>
          <w:p>
            <w:pPr>
              <w:ind w:left="0" w:firstLine="0"/>
              <w:jc w:val="both"/>
              <w:rPr>
                <w:rFonts w:ascii="Times New Roman" w:hAnsi="Times New Roman"/>
                <w:color w:val="000000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highlight w:val="none"/>
              </w:rPr>
              <w:t xml:space="preserve">На отчетную дату:</w:t>
              <w:br/>
              <w:t xml:space="preserve">- объекты учета, стоимостная оценка которых определяет величину налоговых обязательств (недвижимое имущество)</w:t>
            </w:r>
            <w:r>
              <w:rPr>
                <w:rFonts w:ascii="Times New Roman" w:hAnsi="Times New Roman"/>
                <w:color w:val="000000"/>
                <w:sz w:val="28"/>
                <w:szCs w:val="28"/>
                <w:highlight w:val="none"/>
              </w:rPr>
            </w:r>
            <w:r>
              <w:rPr>
                <w:rFonts w:ascii="Times New Roman" w:hAnsi="Times New Roman"/>
                <w:color w:val="000000"/>
                <w:sz w:val="28"/>
                <w:szCs w:val="28"/>
                <w:highlight w:val="none"/>
              </w:rPr>
            </w:r>
          </w:p>
          <w:p>
            <w:pPr>
              <w:ind w:left="0" w:firstLine="0"/>
              <w:jc w:val="both"/>
              <w:rPr>
                <w:rFonts w:ascii="Times New Roman" w:hAnsi="Times New Roman"/>
                <w:color w:val="000000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highlight w:val="none"/>
              </w:rPr>
              <w:t xml:space="preserve">1 (один) раз в 3 (три) года на 01 ноября – иные объекты НФА</w:t>
              <w:br/>
              <w:br/>
              <w:t xml:space="preserve">1 (один) раз в 5 (пять) лет  на 01 ноября  – библиотечный фонд</w:t>
            </w:r>
            <w:r>
              <w:rPr>
                <w:rFonts w:ascii="Times New Roman" w:hAnsi="Times New Roman"/>
                <w:color w:val="000000"/>
                <w:sz w:val="28"/>
                <w:szCs w:val="28"/>
                <w:highlight w:val="none"/>
              </w:rPr>
            </w:r>
            <w:r>
              <w:rPr>
                <w:rFonts w:ascii="Times New Roman" w:hAnsi="Times New Roman"/>
                <w:color w:val="000000"/>
                <w:sz w:val="28"/>
                <w:szCs w:val="28"/>
                <w:highlight w:val="none"/>
              </w:rPr>
            </w:r>
          </w:p>
        </w:tc>
        <w:tc>
          <w:tcPr>
            <w:tcMar>
              <w:left w:w="75" w:type="dxa"/>
              <w:top w:w="75" w:type="dxa"/>
              <w:right w:w="75" w:type="dxa"/>
              <w:bottom w:w="75" w:type="dxa"/>
            </w:tcMar>
            <w:tcW w:w="2437" w:type="dxa"/>
            <w:vAlign w:val="top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Г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од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</w:rPr>
              <w:t xml:space="preserve">Год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Не реже 1 раза в 3 года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Не реже 1 раза в 5 лет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Mar>
              <w:left w:w="75" w:type="dxa"/>
              <w:top w:w="75" w:type="dxa"/>
              <w:right w:w="75" w:type="dxa"/>
              <w:bottom w:w="75" w:type="dxa"/>
            </w:tcMar>
            <w:tcW w:w="724" w:type="auto"/>
            <w:vAlign w:val="top"/>
            <w:vMerge w:val="restart"/>
            <w:textDirection w:val="lrTb"/>
            <w:noWrap w:val="false"/>
          </w:tcPr>
          <w:p>
            <w:pPr>
              <w:pStyle w:val="874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</w:p>
        </w:tc>
        <w:tc>
          <w:tcPr>
            <w:tcMar>
              <w:left w:w="75" w:type="dxa"/>
              <w:top w:w="75" w:type="dxa"/>
              <w:right w:w="75" w:type="dxa"/>
              <w:bottom w:w="75" w:type="dxa"/>
            </w:tcMar>
            <w:tcW w:w="2888" w:type="dxa"/>
            <w:vAlign w:val="top"/>
            <w:vMerge w:val="restart"/>
            <w:textDirection w:val="lrTb"/>
            <w:noWrap w:val="false"/>
          </w:tcPr>
          <w:p>
            <w:pPr>
              <w:pStyle w:val="874"/>
              <w:jc w:val="both"/>
              <w:rPr>
                <w:rFonts w:ascii="Times New Roman" w:hAnsi="Times New Roman"/>
                <w:color w:val="000000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Нефинансовые активы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(материальные запасы)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/>
                <w:color w:val="000000"/>
                <w:sz w:val="28"/>
                <w:szCs w:val="28"/>
                <w:highlight w:val="none"/>
              </w:rPr>
            </w:r>
          </w:p>
          <w:p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highlight w:val="none"/>
              </w:rPr>
              <w:t xml:space="preserve">БСО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highlight w:val="none"/>
              </w:rPr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</w:p>
        </w:tc>
        <w:tc>
          <w:tcPr>
            <w:tcMar>
              <w:left w:w="75" w:type="dxa"/>
              <w:top w:w="75" w:type="dxa"/>
              <w:right w:w="75" w:type="dxa"/>
              <w:bottom w:w="75" w:type="dxa"/>
            </w:tcMar>
            <w:tcW w:w="2978" w:type="dxa"/>
            <w:vAlign w:val="top"/>
            <w:vMerge w:val="restart"/>
            <w:textDirection w:val="lrTb"/>
            <w:noWrap w:val="false"/>
          </w:tcPr>
          <w:p>
            <w:pPr>
              <w:pStyle w:val="874"/>
              <w:jc w:val="both"/>
              <w:rPr>
                <w:rFonts w:ascii="Times New Roman" w:hAnsi="Times New Roman"/>
                <w:color w:val="000000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Ежегодно на 01 ноября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/>
                <w:color w:val="000000"/>
                <w:sz w:val="28"/>
                <w:szCs w:val="28"/>
                <w:highlight w:val="none"/>
              </w:rPr>
            </w:r>
          </w:p>
          <w:p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</w:p>
          <w:p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highlight w:val="none"/>
              </w:rPr>
              <w:t xml:space="preserve">На счете 105.36 – в сроки проведения инвентаризации наличных денежных средств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highlight w:val="none"/>
              </w:rPr>
            </w:r>
            <w:r>
              <w:rPr>
                <w:rFonts w:ascii="Times New Roman" w:hAnsi="Times New Roman"/>
                <w:color w:val="000000"/>
                <w:sz w:val="28"/>
                <w:szCs w:val="28"/>
                <w:highlight w:val="none"/>
              </w:rPr>
            </w:r>
          </w:p>
          <w:p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highlight w:val="none"/>
              </w:rPr>
              <w:t xml:space="preserve">На счете 03 – ежегодно на 01 ноября</w:t>
            </w:r>
            <w:r>
              <w:rPr>
                <w:rFonts w:ascii="Times New Roman" w:hAnsi="Times New Roman"/>
                <w:color w:val="000000"/>
                <w:sz w:val="28"/>
                <w:szCs w:val="28"/>
                <w:highlight w:val="none"/>
              </w:rPr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</w:p>
        </w:tc>
        <w:tc>
          <w:tcPr>
            <w:tcMar>
              <w:left w:w="75" w:type="dxa"/>
              <w:top w:w="75" w:type="dxa"/>
              <w:right w:w="75" w:type="dxa"/>
              <w:bottom w:w="75" w:type="dxa"/>
            </w:tcMar>
            <w:tcW w:w="2437" w:type="dxa"/>
            <w:vAlign w:val="top"/>
            <w:vMerge w:val="restart"/>
            <w:textDirection w:val="lrTb"/>
            <w:noWrap w:val="false"/>
          </w:tcPr>
          <w:p>
            <w:pPr>
              <w:pStyle w:val="874"/>
              <w:jc w:val="both"/>
              <w:rPr>
                <w:rFonts w:ascii="Times New Roman" w:hAnsi="Times New Roman"/>
                <w:color w:val="000000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Год</w:t>
              <w:br/>
              <w:br/>
              <w:br/>
              <w:t xml:space="preserve">-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/>
                <w:color w:val="000000"/>
                <w:sz w:val="28"/>
                <w:szCs w:val="28"/>
                <w:highlight w:val="none"/>
              </w:rPr>
            </w:r>
          </w:p>
          <w:p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</w:p>
          <w:p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</w:p>
          <w:p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</w:p>
          <w:p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Не реже 1 раза в 3 года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highlight w:val="none"/>
              </w:rPr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Mar>
              <w:left w:w="75" w:type="dxa"/>
              <w:top w:w="75" w:type="dxa"/>
              <w:right w:w="75" w:type="dxa"/>
              <w:bottom w:w="75" w:type="dxa"/>
            </w:tcMar>
            <w:tcW w:w="724" w:type="dxa"/>
            <w:vAlign w:val="top"/>
            <w:vMerge w:val="restart"/>
            <w:textDirection w:val="lrTb"/>
            <w:noWrap w:val="false"/>
          </w:tcPr>
          <w:p>
            <w:pPr>
              <w:pStyle w:val="87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3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874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</w:p>
        </w:tc>
        <w:tc>
          <w:tcPr>
            <w:tcMar>
              <w:left w:w="75" w:type="dxa"/>
              <w:top w:w="75" w:type="dxa"/>
              <w:right w:w="75" w:type="dxa"/>
              <w:bottom w:w="75" w:type="dxa"/>
            </w:tcMar>
            <w:tcW w:w="2888" w:type="dxa"/>
            <w:vAlign w:val="top"/>
            <w:textDirection w:val="lrTb"/>
            <w:noWrap w:val="false"/>
          </w:tcPr>
          <w:p>
            <w:pPr>
              <w:pStyle w:val="874"/>
              <w:jc w:val="both"/>
              <w:rPr>
                <w:rFonts w:ascii="Times New Roman" w:hAnsi="Times New Roman"/>
                <w:color w:val="000000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Финансовые активы:</w:t>
            </w:r>
            <w:r>
              <w:rPr>
                <w:rFonts w:ascii="Times New Roman" w:hAnsi="Times New Roman"/>
                <w:sz w:val="28"/>
                <w:szCs w:val="28"/>
              </w:rPr>
              <w:br w:type="textWrapping" w:clear="all"/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 денежные средства на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счетах</w:t>
            </w:r>
            <w:r>
              <w:rPr>
                <w:rFonts w:ascii="Times New Roman" w:hAnsi="Times New Roman"/>
                <w:color w:val="000000"/>
                <w:sz w:val="28"/>
                <w:szCs w:val="28"/>
                <w:highlight w:val="none"/>
              </w:rPr>
            </w:r>
            <w:r>
              <w:rPr>
                <w:rFonts w:ascii="Times New Roman" w:hAnsi="Times New Roman"/>
                <w:color w:val="000000"/>
                <w:sz w:val="28"/>
                <w:szCs w:val="28"/>
                <w:highlight w:val="none"/>
              </w:rPr>
            </w:r>
          </w:p>
        </w:tc>
        <w:tc>
          <w:tcPr>
            <w:tcMar>
              <w:left w:w="75" w:type="dxa"/>
              <w:top w:w="75" w:type="dxa"/>
              <w:right w:w="75" w:type="dxa"/>
              <w:bottom w:w="75" w:type="dxa"/>
            </w:tcMar>
            <w:tcW w:w="2978" w:type="dxa"/>
            <w:vAlign w:val="top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highlight w:val="none"/>
              </w:rPr>
            </w:r>
            <w:r>
              <w:rPr>
                <w:rFonts w:ascii="Times New Roman" w:hAnsi="Times New Roman"/>
                <w:color w:val="000000"/>
                <w:sz w:val="28"/>
                <w:szCs w:val="28"/>
                <w:highlight w:val="none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874"/>
              <w:jc w:val="both"/>
              <w:rPr>
                <w:rFonts w:ascii="Times New Roman" w:hAnsi="Times New Roman"/>
                <w:color w:val="000000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На 1-е число календарного месяца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highlight w:val="none"/>
              </w:rPr>
            </w:r>
            <w:r>
              <w:rPr>
                <w:rFonts w:ascii="Times New Roman" w:hAnsi="Times New Roman"/>
                <w:color w:val="000000"/>
                <w:sz w:val="28"/>
                <w:szCs w:val="28"/>
                <w:highlight w:val="none"/>
              </w:rPr>
            </w:r>
          </w:p>
        </w:tc>
        <w:tc>
          <w:tcPr>
            <w:tcMar>
              <w:left w:w="75" w:type="dxa"/>
              <w:top w:w="75" w:type="dxa"/>
              <w:right w:w="75" w:type="dxa"/>
              <w:bottom w:w="75" w:type="dxa"/>
            </w:tcMar>
            <w:tcW w:w="2437" w:type="dxa"/>
            <w:vAlign w:val="top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highlight w:val="none"/>
              </w:rPr>
            </w:r>
            <w:r>
              <w:rPr>
                <w:rFonts w:ascii="Times New Roman" w:hAnsi="Times New Roman"/>
                <w:sz w:val="28"/>
                <w:szCs w:val="28"/>
                <w:highlight w:val="none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874"/>
              <w:jc w:val="both"/>
              <w:rPr>
                <w:rFonts w:ascii="Times New Roman" w:hAnsi="Times New Roman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Квартал</w:t>
            </w:r>
            <w:r>
              <w:rPr>
                <w:rFonts w:ascii="Times New Roman" w:hAnsi="Times New Roman"/>
                <w:sz w:val="28"/>
                <w:szCs w:val="28"/>
                <w:highlight w:val="none"/>
              </w:rPr>
            </w:r>
            <w:r>
              <w:rPr>
                <w:rFonts w:ascii="Times New Roman" w:hAnsi="Times New Roman"/>
                <w:sz w:val="28"/>
                <w:szCs w:val="28"/>
                <w:highlight w:val="none"/>
              </w:rPr>
            </w:r>
          </w:p>
        </w:tc>
      </w:tr>
      <w:tr>
        <w:tblPrEx/>
        <w:trPr/>
        <w:tc>
          <w:tcPr>
            <w:tcMar>
              <w:left w:w="75" w:type="dxa"/>
              <w:top w:w="75" w:type="dxa"/>
              <w:right w:w="75" w:type="dxa"/>
              <w:bottom w:w="75" w:type="dxa"/>
            </w:tcMar>
            <w:tcW w:w="724" w:type="auto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Mar>
              <w:left w:w="75" w:type="dxa"/>
              <w:top w:w="75" w:type="dxa"/>
              <w:right w:w="75" w:type="dxa"/>
              <w:bottom w:w="75" w:type="dxa"/>
            </w:tcMar>
            <w:tcW w:w="2888" w:type="dxa"/>
            <w:vAlign w:val="top"/>
            <w:vMerge w:val="restart"/>
            <w:textDirection w:val="lrTb"/>
            <w:noWrap w:val="false"/>
          </w:tcPr>
          <w:p>
            <w:pPr>
              <w:pStyle w:val="874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- денежные средства в кассе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</w:p>
        </w:tc>
        <w:tc>
          <w:tcPr>
            <w:tcMar>
              <w:left w:w="75" w:type="dxa"/>
              <w:top w:w="75" w:type="dxa"/>
              <w:right w:w="75" w:type="dxa"/>
              <w:bottom w:w="75" w:type="dxa"/>
            </w:tcMar>
            <w:tcW w:w="2978" w:type="dxa"/>
            <w:vAlign w:val="top"/>
            <w:vMerge w:val="restart"/>
            <w:textDirection w:val="lrTb"/>
            <w:noWrap w:val="false"/>
          </w:tcPr>
          <w:p>
            <w:pPr>
              <w:pStyle w:val="874"/>
              <w:jc w:val="both"/>
              <w:rPr>
                <w:rFonts w:ascii="Times New Roman" w:hAnsi="Times New Roman"/>
                <w:color w:val="000000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На 1-е число календарного месяца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/>
                <w:color w:val="000000"/>
                <w:sz w:val="28"/>
                <w:szCs w:val="28"/>
                <w:highlight w:val="none"/>
              </w:rPr>
            </w:r>
          </w:p>
          <w:p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highlight w:val="none"/>
              </w:rPr>
              <w:t xml:space="preserve">При смене МОЛ</w:t>
            </w:r>
            <w:r>
              <w:rPr>
                <w:rFonts w:ascii="Times New Roman" w:hAnsi="Times New Roman"/>
                <w:color w:val="000000"/>
                <w:sz w:val="28"/>
                <w:szCs w:val="28"/>
                <w:highlight w:val="none"/>
              </w:rPr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</w:p>
        </w:tc>
        <w:tc>
          <w:tcPr>
            <w:tcMar>
              <w:left w:w="75" w:type="dxa"/>
              <w:top w:w="75" w:type="dxa"/>
              <w:right w:w="75" w:type="dxa"/>
              <w:bottom w:w="75" w:type="dxa"/>
            </w:tcMar>
            <w:tcW w:w="2437" w:type="dxa"/>
            <w:vAlign w:val="top"/>
            <w:vMerge w:val="restart"/>
            <w:textDirection w:val="lrTb"/>
            <w:noWrap w:val="false"/>
          </w:tcPr>
          <w:p>
            <w:pPr>
              <w:pStyle w:val="874"/>
              <w:ind w:left="75" w:right="75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Ежемесячно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</w:p>
          <w:p>
            <w:pPr>
              <w:ind w:left="75" w:right="75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highlight w:val="none"/>
              </w:rPr>
            </w:r>
            <w:r>
              <w:rPr>
                <w:rFonts w:ascii="Times New Roman" w:hAnsi="Times New Roman"/>
                <w:color w:val="000000"/>
                <w:sz w:val="28"/>
                <w:szCs w:val="28"/>
                <w:highlight w:val="none"/>
              </w:rPr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</w:p>
          <w:p>
            <w:pPr>
              <w:ind w:left="75" w:right="75"/>
              <w:jc w:val="both"/>
              <w:rPr>
                <w:rFonts w:ascii="Times New Roman" w:hAnsi="Times New Roman"/>
                <w:color w:val="000000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При смене МОЛ</w:t>
              <w:br/>
            </w:r>
            <w:r>
              <w:rPr>
                <w:rFonts w:ascii="Times New Roman" w:hAnsi="Times New Roman"/>
                <w:color w:val="000000"/>
                <w:sz w:val="28"/>
                <w:szCs w:val="28"/>
                <w:highlight w:val="none"/>
              </w:rPr>
            </w:r>
            <w:r>
              <w:rPr>
                <w:rFonts w:ascii="Times New Roman" w:hAnsi="Times New Roman"/>
                <w:color w:val="000000"/>
                <w:sz w:val="28"/>
                <w:szCs w:val="28"/>
                <w:highlight w:val="none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Mar>
              <w:left w:w="75" w:type="dxa"/>
              <w:top w:w="75" w:type="dxa"/>
              <w:right w:w="75" w:type="dxa"/>
              <w:bottom w:w="75" w:type="dxa"/>
            </w:tcMar>
            <w:tcW w:w="724" w:type="auto"/>
            <w:vAlign w:val="top"/>
            <w:textDirection w:val="lrTb"/>
            <w:noWrap w:val="false"/>
          </w:tcPr>
          <w:p>
            <w:pPr>
              <w:pStyle w:val="87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4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Mar>
              <w:left w:w="75" w:type="dxa"/>
              <w:top w:w="75" w:type="dxa"/>
              <w:right w:w="75" w:type="dxa"/>
              <w:bottom w:w="75" w:type="dxa"/>
            </w:tcMar>
            <w:tcW w:w="2888" w:type="dxa"/>
            <w:vAlign w:val="top"/>
            <w:textDirection w:val="lrTb"/>
            <w:noWrap w:val="false"/>
          </w:tcPr>
          <w:p>
            <w:pPr>
              <w:pStyle w:val="87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Дебиторская и кредиторская</w:t>
            </w:r>
            <w:r>
              <w:rPr>
                <w:rFonts w:ascii="Times New Roman" w:hAnsi="Times New Roman"/>
                <w:sz w:val="28"/>
                <w:szCs w:val="28"/>
              </w:rPr>
              <w:br w:type="textWrapping" w:clear="all"/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задолженность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Mar>
              <w:left w:w="75" w:type="dxa"/>
              <w:top w:w="75" w:type="dxa"/>
              <w:right w:w="75" w:type="dxa"/>
              <w:bottom w:w="75" w:type="dxa"/>
            </w:tcMar>
            <w:tcW w:w="2978" w:type="dxa"/>
            <w:vAlign w:val="top"/>
            <w:textDirection w:val="lrTb"/>
            <w:noWrap w:val="false"/>
          </w:tcPr>
          <w:p>
            <w:pPr>
              <w:pStyle w:val="874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Ежегодно на 01 ноября</w:t>
              <w:br/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</w:p>
          <w:p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Ежегодно на отчетную дату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</w:p>
        </w:tc>
        <w:tc>
          <w:tcPr>
            <w:tcMar>
              <w:left w:w="75" w:type="dxa"/>
              <w:top w:w="75" w:type="dxa"/>
              <w:right w:w="75" w:type="dxa"/>
              <w:bottom w:w="75" w:type="dxa"/>
            </w:tcMar>
            <w:tcW w:w="2437" w:type="dxa"/>
            <w:vAlign w:val="top"/>
            <w:textDirection w:val="lrTb"/>
            <w:noWrap w:val="false"/>
          </w:tcPr>
          <w:p>
            <w:pPr>
              <w:pStyle w:val="874"/>
              <w:ind w:left="75" w:right="75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Год</w:t>
              <w:br/>
              <w:br/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</w:p>
        </w:tc>
      </w:tr>
      <w:tr>
        <w:tblPrEx/>
        <w:trPr/>
        <w:tc>
          <w:tcPr>
            <w:tcMar>
              <w:left w:w="75" w:type="dxa"/>
              <w:top w:w="75" w:type="dxa"/>
              <w:right w:w="75" w:type="dxa"/>
              <w:bottom w:w="75" w:type="dxa"/>
            </w:tcMar>
            <w:tcW w:w="724" w:type="auto"/>
            <w:vAlign w:val="top"/>
            <w:vMerge w:val="restart"/>
            <w:textDirection w:val="lrTb"/>
            <w:noWrap w:val="false"/>
          </w:tcPr>
          <w:p>
            <w:pPr>
              <w:pStyle w:val="874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5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</w:p>
        </w:tc>
        <w:tc>
          <w:tcPr>
            <w:tcMar>
              <w:left w:w="75" w:type="dxa"/>
              <w:top w:w="75" w:type="dxa"/>
              <w:right w:w="75" w:type="dxa"/>
              <w:bottom w:w="75" w:type="dxa"/>
            </w:tcMar>
            <w:tcW w:w="2888" w:type="dxa"/>
            <w:vAlign w:val="top"/>
            <w:vMerge w:val="restart"/>
            <w:textDirection w:val="lrTb"/>
            <w:noWrap w:val="false"/>
          </w:tcPr>
          <w:p>
            <w:pPr>
              <w:pStyle w:val="874"/>
              <w:jc w:val="both"/>
              <w:rPr>
                <w:rFonts w:ascii="Times New Roman" w:hAnsi="Times New Roman"/>
                <w:color w:val="000000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Доходы будущих периодов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/>
                <w:color w:val="000000"/>
                <w:sz w:val="28"/>
                <w:szCs w:val="28"/>
                <w:highlight w:val="none"/>
              </w:rPr>
            </w:r>
          </w:p>
          <w:p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highlight w:val="none"/>
              </w:rPr>
              <w:t xml:space="preserve">Расходы будущих периодов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highlight w:val="none"/>
              </w:rPr>
            </w:r>
            <w:r>
              <w:rPr>
                <w:rFonts w:ascii="Times New Roman" w:hAnsi="Times New Roman"/>
                <w:color w:val="000000"/>
                <w:sz w:val="28"/>
                <w:szCs w:val="28"/>
                <w:highlight w:val="none"/>
              </w:rPr>
            </w:r>
          </w:p>
          <w:p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highlight w:val="none"/>
              </w:rPr>
              <w:t xml:space="preserve">Резервы предстоящих платежей</w:t>
            </w:r>
            <w:r>
              <w:rPr>
                <w:rFonts w:ascii="Times New Roman" w:hAnsi="Times New Roman"/>
                <w:color w:val="000000"/>
                <w:sz w:val="28"/>
                <w:szCs w:val="28"/>
                <w:highlight w:val="none"/>
              </w:rPr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</w:p>
        </w:tc>
        <w:tc>
          <w:tcPr>
            <w:tcMar>
              <w:left w:w="75" w:type="dxa"/>
              <w:top w:w="75" w:type="dxa"/>
              <w:right w:w="75" w:type="dxa"/>
              <w:bottom w:w="75" w:type="dxa"/>
            </w:tcMar>
            <w:tcW w:w="2978" w:type="dxa"/>
            <w:vAlign w:val="top"/>
            <w:vMerge w:val="restart"/>
            <w:textDirection w:val="lrTb"/>
            <w:noWrap w:val="false"/>
          </w:tcPr>
          <w:p>
            <w:pPr>
              <w:pStyle w:val="874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Ежегодно на отчетную дату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</w:p>
        </w:tc>
        <w:tc>
          <w:tcPr>
            <w:tcMar>
              <w:left w:w="75" w:type="dxa"/>
              <w:top w:w="75" w:type="dxa"/>
              <w:right w:w="75" w:type="dxa"/>
              <w:bottom w:w="75" w:type="dxa"/>
            </w:tcMar>
            <w:tcW w:w="2437" w:type="dxa"/>
            <w:vAlign w:val="top"/>
            <w:vMerge w:val="restart"/>
            <w:textDirection w:val="lrTb"/>
            <w:noWrap w:val="false"/>
          </w:tcPr>
          <w:p>
            <w:pPr>
              <w:pStyle w:val="874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Год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Mar>
              <w:left w:w="75" w:type="dxa"/>
              <w:top w:w="75" w:type="dxa"/>
              <w:right w:w="75" w:type="dxa"/>
              <w:bottom w:w="75" w:type="dxa"/>
            </w:tcMar>
            <w:tcW w:w="724" w:type="auto"/>
            <w:vAlign w:val="top"/>
            <w:textDirection w:val="lrTb"/>
            <w:noWrap w:val="false"/>
          </w:tcPr>
          <w:p>
            <w:pPr>
              <w:pStyle w:val="87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6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Mar>
              <w:left w:w="75" w:type="dxa"/>
              <w:top w:w="75" w:type="dxa"/>
              <w:right w:w="75" w:type="dxa"/>
              <w:bottom w:w="75" w:type="dxa"/>
            </w:tcMar>
            <w:tcW w:w="2888" w:type="dxa"/>
            <w:vAlign w:val="top"/>
            <w:textDirection w:val="lrTb"/>
            <w:noWrap w:val="false"/>
          </w:tcPr>
          <w:p>
            <w:pPr>
              <w:pStyle w:val="87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Внезапные инвентаризации</w:t>
            </w:r>
            <w:r>
              <w:rPr>
                <w:rFonts w:ascii="Times New Roman" w:hAnsi="Times New Roman"/>
                <w:sz w:val="28"/>
                <w:szCs w:val="28"/>
              </w:rPr>
              <w:br w:type="textWrapping" w:clear="all"/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всех видов имущества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Mar>
              <w:left w:w="75" w:type="dxa"/>
              <w:top w:w="75" w:type="dxa"/>
              <w:right w:w="75" w:type="dxa"/>
              <w:bottom w:w="75" w:type="dxa"/>
            </w:tcMar>
            <w:tcW w:w="2978" w:type="dxa"/>
            <w:vAlign w:val="top"/>
            <w:textDirection w:val="lrTb"/>
            <w:noWrap w:val="false"/>
          </w:tcPr>
          <w:p>
            <w:pPr>
              <w:pStyle w:val="87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–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Mar>
              <w:left w:w="75" w:type="dxa"/>
              <w:top w:w="75" w:type="dxa"/>
              <w:right w:w="75" w:type="dxa"/>
              <w:bottom w:w="75" w:type="dxa"/>
            </w:tcMar>
            <w:tcW w:w="2437" w:type="dxa"/>
            <w:vAlign w:val="top"/>
            <w:textDirection w:val="lrTb"/>
            <w:noWrap w:val="false"/>
          </w:tcPr>
          <w:p>
            <w:pPr>
              <w:pStyle w:val="874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При необходимости в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соответствии с Решением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 проведении инвентаризации (ф. 0510439)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</w:p>
        </w:tc>
      </w:tr>
    </w:tbl>
    <w:p>
      <w:pPr>
        <w:pStyle w:val="87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Segoe UI">
    <w:panose1 w:val="020B050204050402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432" w:hanging="432"/>
      </w:pPr>
    </w:lvl>
    <w:lvl w:ilvl="1">
      <w:start w:val="9"/>
      <w:numFmt w:val="decimal"/>
      <w:isLgl w:val="false"/>
      <w:suff w:val="tab"/>
      <w:lvlText w:val="%1.%2."/>
      <w:lvlJc w:val="left"/>
      <w:pPr>
        <w:ind w:left="2160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360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5400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684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864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044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188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3680" w:hanging="2160"/>
      </w:pPr>
    </w:lvl>
  </w:abstractNum>
  <w:abstractNum w:abstractNumId="3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648" w:hanging="648"/>
      </w:pPr>
    </w:lvl>
    <w:lvl w:ilvl="1">
      <w:start w:val="1"/>
      <w:numFmt w:val="decimal"/>
      <w:isLgl w:val="false"/>
      <w:suff w:val="tab"/>
      <w:lvlText w:val="%1.%2."/>
      <w:lvlJc w:val="left"/>
      <w:pPr>
        <w:ind w:left="1074" w:hanging="720"/>
      </w:pPr>
    </w:lvl>
    <w:lvl w:ilvl="2">
      <w:start w:val="5"/>
      <w:numFmt w:val="decimal"/>
      <w:isLgl w:val="false"/>
      <w:suff w:val="tab"/>
      <w:lvlText w:val="%1.%2.%3."/>
      <w:lvlJc w:val="left"/>
      <w:pPr>
        <w:ind w:left="1428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142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496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21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924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278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992" w:hanging="2160"/>
      </w:p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ascii="Wingdings" w:hAnsi="Wingdings"/>
        <w:sz w:val="20"/>
      </w:rPr>
    </w:lvl>
  </w:abstractNum>
  <w:abstractNum w:abstractNumId="5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648" w:hanging="648"/>
      </w:pPr>
    </w:lvl>
    <w:lvl w:ilvl="1">
      <w:start w:val="2"/>
      <w:numFmt w:val="decimal"/>
      <w:isLgl w:val="false"/>
      <w:suff w:val="tab"/>
      <w:lvlText w:val="%1.%2."/>
      <w:lvlJc w:val="left"/>
      <w:pPr>
        <w:ind w:left="1044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368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052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376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06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744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068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752" w:hanging="2160"/>
      </w:p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ascii="Wingdings" w:hAnsi="Wingdings"/>
        <w:sz w:val="20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1080" w:hanging="36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216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880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96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4680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576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480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560" w:hanging="1800"/>
      </w:p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ascii="Wingdings" w:hAnsi="Wingdings"/>
        <w:sz w:val="20"/>
      </w:rPr>
    </w:lvl>
  </w:abstractNum>
  <w:abstractNum w:abstractNumId="9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432" w:hanging="432"/>
      </w:pPr>
    </w:lvl>
    <w:lvl w:ilvl="1">
      <w:start w:val="3"/>
      <w:numFmt w:val="decimal"/>
      <w:isLgl w:val="false"/>
      <w:suff w:val="tab"/>
      <w:lvlText w:val="%1.%2."/>
      <w:lvlJc w:val="left"/>
      <w:pPr>
        <w:ind w:left="1440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216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3240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96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504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612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84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920" w:hanging="2160"/>
      </w:p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ascii="Wingdings" w:hAnsi="Wingdings"/>
        <w:sz w:val="20"/>
      </w:rPr>
    </w:lvl>
  </w:abstractNum>
  <w:abstractNum w:abstractNumId="11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65" w:hanging="405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08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44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1800"/>
      </w:pPr>
    </w:lvl>
  </w:abstractNum>
  <w:abstractNum w:abstractNumId="12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648" w:hanging="648"/>
      </w:pPr>
    </w:lvl>
    <w:lvl w:ilvl="1">
      <w:start w:val="1"/>
      <w:numFmt w:val="decimal"/>
      <w:isLgl w:val="false"/>
      <w:suff w:val="tab"/>
      <w:lvlText w:val="%1.%2."/>
      <w:lvlJc w:val="left"/>
      <w:pPr>
        <w:ind w:left="1074" w:hanging="720"/>
      </w:pPr>
    </w:lvl>
    <w:lvl w:ilvl="2">
      <w:start w:val="3"/>
      <w:numFmt w:val="decimal"/>
      <w:isLgl w:val="false"/>
      <w:suff w:val="tab"/>
      <w:lvlText w:val="%1.%2.%3."/>
      <w:lvlJc w:val="left"/>
      <w:pPr>
        <w:ind w:left="1428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142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496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21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924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278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992" w:hanging="2160"/>
      </w:pPr>
    </w:lvl>
  </w:abstractNum>
  <w:abstractNum w:abstractNumId="13">
    <w:multiLevelType w:val="hybridMultilevel"/>
    <w:lvl w:ilvl="0">
      <w:start w:val="3"/>
      <w:numFmt w:val="decimal"/>
      <w:isLgl w:val="false"/>
      <w:suff w:val="tab"/>
      <w:lvlText w:val="%1"/>
      <w:lvlJc w:val="left"/>
      <w:pPr>
        <w:ind w:left="360" w:hanging="360"/>
      </w:pPr>
    </w:lvl>
    <w:lvl w:ilvl="1">
      <w:start w:val="8"/>
      <w:numFmt w:val="decimal"/>
      <w:isLgl w:val="false"/>
      <w:suff w:val="tab"/>
      <w:lvlText w:val="%1.%2"/>
      <w:lvlJc w:val="left"/>
      <w:pPr>
        <w:ind w:left="792" w:hanging="360"/>
      </w:pPr>
    </w:lvl>
    <w:lvl w:ilvl="2">
      <w:start w:val="1"/>
      <w:numFmt w:val="decimal"/>
      <w:isLgl w:val="false"/>
      <w:suff w:val="tab"/>
      <w:lvlText w:val="%1.%2.%3"/>
      <w:lvlJc w:val="left"/>
      <w:pPr>
        <w:ind w:left="1584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2376" w:hanging="108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2808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3600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4032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4824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5616" w:hanging="2160"/>
      </w:p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  <w:color w:val="222222"/>
        <w:sz w:val="21"/>
      </w:rPr>
    </w:lvl>
    <w:lvl w:ilvl="1">
      <w:start w:val="1"/>
      <w:numFmt w:val="bullet"/>
      <w:isLgl w:val="false"/>
      <w:suff w:val="tab"/>
      <w:lvlText w:val="·"/>
      <w:lvlJc w:val="left"/>
      <w:pPr>
        <w:ind w:left="1429" w:hanging="360"/>
      </w:pPr>
      <w:rPr>
        <w:rFonts w:hint="default" w:ascii="Symbol" w:hAnsi="Symbol" w:eastAsia="Symbol" w:cs="Symbol"/>
        <w:color w:val="222222"/>
        <w:sz w:val="21"/>
      </w:rPr>
    </w:lvl>
    <w:lvl w:ilvl="2">
      <w:start w:val="1"/>
      <w:numFmt w:val="bullet"/>
      <w:isLgl w:val="false"/>
      <w:suff w:val="tab"/>
      <w:lvlText w:val="·"/>
      <w:lvlJc w:val="left"/>
      <w:pPr>
        <w:ind w:left="2149" w:hanging="360"/>
      </w:pPr>
      <w:rPr>
        <w:rFonts w:hint="default" w:ascii="Symbol" w:hAnsi="Symbol" w:eastAsia="Symbol" w:cs="Symbol"/>
        <w:color w:val="222222"/>
        <w:sz w:val="21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  <w:color w:val="222222"/>
        <w:sz w:val="21"/>
      </w:rPr>
    </w:lvl>
    <w:lvl w:ilvl="4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hint="default" w:ascii="Symbol" w:hAnsi="Symbol" w:eastAsia="Symbol" w:cs="Symbol"/>
        <w:color w:val="222222"/>
        <w:sz w:val="21"/>
      </w:rPr>
    </w:lvl>
    <w:lvl w:ilvl="5">
      <w:start w:val="1"/>
      <w:numFmt w:val="bullet"/>
      <w:isLgl w:val="false"/>
      <w:suff w:val="tab"/>
      <w:lvlText w:val="·"/>
      <w:lvlJc w:val="left"/>
      <w:pPr>
        <w:ind w:left="4309" w:hanging="360"/>
      </w:pPr>
      <w:rPr>
        <w:rFonts w:hint="default" w:ascii="Symbol" w:hAnsi="Symbol" w:eastAsia="Symbol" w:cs="Symbol"/>
        <w:color w:val="222222"/>
        <w:sz w:val="21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  <w:color w:val="222222"/>
        <w:sz w:val="21"/>
      </w:rPr>
    </w:lvl>
    <w:lvl w:ilvl="7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hint="default" w:ascii="Symbol" w:hAnsi="Symbol" w:eastAsia="Symbol" w:cs="Symbol"/>
        <w:color w:val="222222"/>
        <w:sz w:val="21"/>
      </w:rPr>
    </w:lvl>
    <w:lvl w:ilvl="8">
      <w:start w:val="1"/>
      <w:numFmt w:val="bullet"/>
      <w:isLgl w:val="false"/>
      <w:suff w:val="tab"/>
      <w:lvlText w:val="·"/>
      <w:lvlJc w:val="left"/>
      <w:pPr>
        <w:ind w:left="6469" w:hanging="360"/>
      </w:pPr>
      <w:rPr>
        <w:rFonts w:hint="default" w:ascii="Symbol" w:hAnsi="Symbol" w:eastAsia="Symbol" w:cs="Symbol"/>
        <w:color w:val="222222"/>
        <w:sz w:val="21"/>
      </w:r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2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num w:numId="1">
    <w:abstractNumId w:val="1"/>
  </w:num>
  <w:num w:numId="2">
    <w:abstractNumId w:val="14"/>
  </w:num>
  <w:num w:numId="3">
    <w:abstractNumId w:val="0"/>
  </w:num>
  <w:num w:numId="4">
    <w:abstractNumId w:val="7"/>
  </w:num>
  <w:num w:numId="5">
    <w:abstractNumId w:val="11"/>
  </w:num>
  <w:num w:numId="6">
    <w:abstractNumId w:val="4"/>
  </w:num>
  <w:num w:numId="7">
    <w:abstractNumId w:val="10"/>
  </w:num>
  <w:num w:numId="8">
    <w:abstractNumId w:val="6"/>
  </w:num>
  <w:num w:numId="9">
    <w:abstractNumId w:val="8"/>
  </w:num>
  <w:num w:numId="10">
    <w:abstractNumId w:val="9"/>
  </w:num>
  <w:num w:numId="11">
    <w:abstractNumId w:val="13"/>
  </w:num>
  <w:num w:numId="12">
    <w:abstractNumId w:val="2"/>
  </w:num>
  <w:num w:numId="13">
    <w:abstractNumId w:val="12"/>
  </w:num>
  <w:num w:numId="14">
    <w:abstractNumId w:val="3"/>
  </w:num>
  <w:num w:numId="15">
    <w:abstractNumId w:val="5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Times New Roman" w:cs="Times New Roman"/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96">
    <w:name w:val="Heading 1"/>
    <w:basedOn w:val="874"/>
    <w:next w:val="874"/>
    <w:link w:val="697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97">
    <w:name w:val="Heading 1 Char"/>
    <w:link w:val="696"/>
    <w:uiPriority w:val="9"/>
    <w:rPr>
      <w:rFonts w:ascii="Arial" w:hAnsi="Arial" w:eastAsia="Arial" w:cs="Arial"/>
      <w:sz w:val="40"/>
      <w:szCs w:val="40"/>
    </w:rPr>
  </w:style>
  <w:style w:type="paragraph" w:styleId="698">
    <w:name w:val="Heading 2"/>
    <w:basedOn w:val="874"/>
    <w:next w:val="874"/>
    <w:link w:val="699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99">
    <w:name w:val="Heading 2 Char"/>
    <w:link w:val="698"/>
    <w:uiPriority w:val="9"/>
    <w:rPr>
      <w:rFonts w:ascii="Arial" w:hAnsi="Arial" w:eastAsia="Arial" w:cs="Arial"/>
      <w:sz w:val="34"/>
    </w:rPr>
  </w:style>
  <w:style w:type="paragraph" w:styleId="700">
    <w:name w:val="Heading 3"/>
    <w:basedOn w:val="874"/>
    <w:next w:val="874"/>
    <w:link w:val="701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01">
    <w:name w:val="Heading 3 Char"/>
    <w:link w:val="700"/>
    <w:uiPriority w:val="9"/>
    <w:rPr>
      <w:rFonts w:ascii="Arial" w:hAnsi="Arial" w:eastAsia="Arial" w:cs="Arial"/>
      <w:sz w:val="30"/>
      <w:szCs w:val="30"/>
    </w:rPr>
  </w:style>
  <w:style w:type="paragraph" w:styleId="702">
    <w:name w:val="Heading 4"/>
    <w:basedOn w:val="874"/>
    <w:next w:val="874"/>
    <w:link w:val="703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03">
    <w:name w:val="Heading 4 Char"/>
    <w:link w:val="702"/>
    <w:uiPriority w:val="9"/>
    <w:rPr>
      <w:rFonts w:ascii="Arial" w:hAnsi="Arial" w:eastAsia="Arial" w:cs="Arial"/>
      <w:b/>
      <w:bCs/>
      <w:sz w:val="26"/>
      <w:szCs w:val="26"/>
    </w:rPr>
  </w:style>
  <w:style w:type="paragraph" w:styleId="704">
    <w:name w:val="Heading 5"/>
    <w:basedOn w:val="874"/>
    <w:next w:val="874"/>
    <w:link w:val="705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05">
    <w:name w:val="Heading 5 Char"/>
    <w:link w:val="704"/>
    <w:uiPriority w:val="9"/>
    <w:rPr>
      <w:rFonts w:ascii="Arial" w:hAnsi="Arial" w:eastAsia="Arial" w:cs="Arial"/>
      <w:b/>
      <w:bCs/>
      <w:sz w:val="24"/>
      <w:szCs w:val="24"/>
    </w:rPr>
  </w:style>
  <w:style w:type="paragraph" w:styleId="706">
    <w:name w:val="Heading 6"/>
    <w:basedOn w:val="874"/>
    <w:next w:val="874"/>
    <w:link w:val="70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07">
    <w:name w:val="Heading 6 Char"/>
    <w:link w:val="706"/>
    <w:uiPriority w:val="9"/>
    <w:rPr>
      <w:rFonts w:ascii="Arial" w:hAnsi="Arial" w:eastAsia="Arial" w:cs="Arial"/>
      <w:b/>
      <w:bCs/>
      <w:sz w:val="22"/>
      <w:szCs w:val="22"/>
    </w:rPr>
  </w:style>
  <w:style w:type="paragraph" w:styleId="708">
    <w:name w:val="Heading 7"/>
    <w:basedOn w:val="874"/>
    <w:next w:val="874"/>
    <w:link w:val="709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09">
    <w:name w:val="Heading 7 Char"/>
    <w:link w:val="70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10">
    <w:name w:val="Heading 8"/>
    <w:basedOn w:val="874"/>
    <w:next w:val="874"/>
    <w:link w:val="71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11">
    <w:name w:val="Heading 8 Char"/>
    <w:link w:val="710"/>
    <w:uiPriority w:val="9"/>
    <w:rPr>
      <w:rFonts w:ascii="Arial" w:hAnsi="Arial" w:eastAsia="Arial" w:cs="Arial"/>
      <w:i/>
      <w:iCs/>
      <w:sz w:val="22"/>
      <w:szCs w:val="22"/>
    </w:rPr>
  </w:style>
  <w:style w:type="paragraph" w:styleId="712">
    <w:name w:val="Heading 9"/>
    <w:basedOn w:val="874"/>
    <w:next w:val="874"/>
    <w:link w:val="713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13">
    <w:name w:val="Heading 9 Char"/>
    <w:link w:val="712"/>
    <w:uiPriority w:val="9"/>
    <w:rPr>
      <w:rFonts w:ascii="Arial" w:hAnsi="Arial" w:eastAsia="Arial" w:cs="Arial"/>
      <w:i/>
      <w:iCs/>
      <w:sz w:val="21"/>
      <w:szCs w:val="21"/>
    </w:rPr>
  </w:style>
  <w:style w:type="paragraph" w:styleId="714">
    <w:name w:val="List Paragraph"/>
    <w:basedOn w:val="874"/>
    <w:uiPriority w:val="34"/>
    <w:qFormat/>
    <w:pPr>
      <w:contextualSpacing/>
      <w:ind w:left="720"/>
    </w:pPr>
  </w:style>
  <w:style w:type="paragraph" w:styleId="715">
    <w:name w:val="No Spacing"/>
    <w:uiPriority w:val="1"/>
    <w:qFormat/>
    <w:pPr>
      <w:spacing w:before="0" w:after="0" w:line="240" w:lineRule="auto"/>
    </w:pPr>
  </w:style>
  <w:style w:type="paragraph" w:styleId="716">
    <w:name w:val="Title"/>
    <w:basedOn w:val="874"/>
    <w:next w:val="874"/>
    <w:link w:val="717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17">
    <w:name w:val="Title Char"/>
    <w:link w:val="716"/>
    <w:uiPriority w:val="10"/>
    <w:rPr>
      <w:sz w:val="48"/>
      <w:szCs w:val="48"/>
    </w:rPr>
  </w:style>
  <w:style w:type="paragraph" w:styleId="718">
    <w:name w:val="Subtitle"/>
    <w:basedOn w:val="874"/>
    <w:next w:val="874"/>
    <w:link w:val="719"/>
    <w:uiPriority w:val="11"/>
    <w:qFormat/>
    <w:pPr>
      <w:spacing w:before="200" w:after="200"/>
    </w:pPr>
    <w:rPr>
      <w:sz w:val="24"/>
      <w:szCs w:val="24"/>
    </w:rPr>
  </w:style>
  <w:style w:type="character" w:styleId="719">
    <w:name w:val="Subtitle Char"/>
    <w:link w:val="718"/>
    <w:uiPriority w:val="11"/>
    <w:rPr>
      <w:sz w:val="24"/>
      <w:szCs w:val="24"/>
    </w:rPr>
  </w:style>
  <w:style w:type="paragraph" w:styleId="720">
    <w:name w:val="Quote"/>
    <w:basedOn w:val="874"/>
    <w:next w:val="874"/>
    <w:link w:val="721"/>
    <w:uiPriority w:val="29"/>
    <w:qFormat/>
    <w:pPr>
      <w:ind w:left="720" w:right="720"/>
    </w:pPr>
    <w:rPr>
      <w:i/>
    </w:rPr>
  </w:style>
  <w:style w:type="character" w:styleId="721">
    <w:name w:val="Quote Char"/>
    <w:link w:val="720"/>
    <w:uiPriority w:val="29"/>
    <w:rPr>
      <w:i/>
    </w:rPr>
  </w:style>
  <w:style w:type="paragraph" w:styleId="722">
    <w:name w:val="Intense Quote"/>
    <w:basedOn w:val="874"/>
    <w:next w:val="874"/>
    <w:link w:val="723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23">
    <w:name w:val="Intense Quote Char"/>
    <w:link w:val="722"/>
    <w:uiPriority w:val="30"/>
    <w:rPr>
      <w:i/>
    </w:rPr>
  </w:style>
  <w:style w:type="paragraph" w:styleId="724">
    <w:name w:val="Header"/>
    <w:basedOn w:val="874"/>
    <w:link w:val="72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25">
    <w:name w:val="Header Char"/>
    <w:link w:val="724"/>
    <w:uiPriority w:val="99"/>
  </w:style>
  <w:style w:type="paragraph" w:styleId="726">
    <w:name w:val="Footer"/>
    <w:basedOn w:val="874"/>
    <w:link w:val="729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27">
    <w:name w:val="Footer Char"/>
    <w:link w:val="726"/>
    <w:uiPriority w:val="99"/>
  </w:style>
  <w:style w:type="paragraph" w:styleId="728">
    <w:name w:val="Caption"/>
    <w:basedOn w:val="874"/>
    <w:next w:val="874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29">
    <w:name w:val="Caption Char"/>
    <w:basedOn w:val="728"/>
    <w:link w:val="726"/>
    <w:uiPriority w:val="99"/>
  </w:style>
  <w:style w:type="table" w:styleId="730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31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32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33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34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35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6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37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8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9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0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1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2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3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4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59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60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61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62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63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64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65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66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67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68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69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70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71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72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73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74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75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76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77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78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79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94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95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96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97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98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99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00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7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8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9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0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1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2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3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4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5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6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7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8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9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0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1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22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23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24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25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26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27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28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29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30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31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32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33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34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35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36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37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38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39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40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41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42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43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44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45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46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47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48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49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50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51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52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53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54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55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56">
    <w:name w:val="Hyperlink"/>
    <w:uiPriority w:val="99"/>
    <w:unhideWhenUsed/>
    <w:rPr>
      <w:color w:val="0000ff" w:themeColor="hyperlink"/>
      <w:u w:val="single"/>
    </w:rPr>
  </w:style>
  <w:style w:type="paragraph" w:styleId="857">
    <w:name w:val="footnote text"/>
    <w:basedOn w:val="874"/>
    <w:link w:val="858"/>
    <w:uiPriority w:val="99"/>
    <w:semiHidden/>
    <w:unhideWhenUsed/>
    <w:pPr>
      <w:spacing w:after="40" w:line="240" w:lineRule="auto"/>
    </w:pPr>
    <w:rPr>
      <w:sz w:val="18"/>
    </w:rPr>
  </w:style>
  <w:style w:type="character" w:styleId="858">
    <w:name w:val="Footnote Text Char"/>
    <w:link w:val="857"/>
    <w:uiPriority w:val="99"/>
    <w:rPr>
      <w:sz w:val="18"/>
    </w:rPr>
  </w:style>
  <w:style w:type="character" w:styleId="859">
    <w:name w:val="footnote reference"/>
    <w:uiPriority w:val="99"/>
    <w:unhideWhenUsed/>
    <w:rPr>
      <w:vertAlign w:val="superscript"/>
    </w:rPr>
  </w:style>
  <w:style w:type="paragraph" w:styleId="860">
    <w:name w:val="endnote text"/>
    <w:basedOn w:val="874"/>
    <w:link w:val="861"/>
    <w:uiPriority w:val="99"/>
    <w:semiHidden/>
    <w:unhideWhenUsed/>
    <w:pPr>
      <w:spacing w:after="0" w:line="240" w:lineRule="auto"/>
    </w:pPr>
    <w:rPr>
      <w:sz w:val="20"/>
    </w:rPr>
  </w:style>
  <w:style w:type="character" w:styleId="861">
    <w:name w:val="Endnote Text Char"/>
    <w:link w:val="860"/>
    <w:uiPriority w:val="99"/>
    <w:rPr>
      <w:sz w:val="20"/>
    </w:rPr>
  </w:style>
  <w:style w:type="character" w:styleId="862">
    <w:name w:val="endnote reference"/>
    <w:uiPriority w:val="99"/>
    <w:semiHidden/>
    <w:unhideWhenUsed/>
    <w:rPr>
      <w:vertAlign w:val="superscript"/>
    </w:rPr>
  </w:style>
  <w:style w:type="paragraph" w:styleId="863">
    <w:name w:val="toc 1"/>
    <w:basedOn w:val="874"/>
    <w:next w:val="874"/>
    <w:uiPriority w:val="39"/>
    <w:unhideWhenUsed/>
    <w:pPr>
      <w:ind w:left="0" w:right="0" w:firstLine="0"/>
      <w:spacing w:after="57"/>
    </w:pPr>
  </w:style>
  <w:style w:type="paragraph" w:styleId="864">
    <w:name w:val="toc 2"/>
    <w:basedOn w:val="874"/>
    <w:next w:val="874"/>
    <w:uiPriority w:val="39"/>
    <w:unhideWhenUsed/>
    <w:pPr>
      <w:ind w:left="283" w:right="0" w:firstLine="0"/>
      <w:spacing w:after="57"/>
    </w:pPr>
  </w:style>
  <w:style w:type="paragraph" w:styleId="865">
    <w:name w:val="toc 3"/>
    <w:basedOn w:val="874"/>
    <w:next w:val="874"/>
    <w:uiPriority w:val="39"/>
    <w:unhideWhenUsed/>
    <w:pPr>
      <w:ind w:left="567" w:right="0" w:firstLine="0"/>
      <w:spacing w:after="57"/>
    </w:pPr>
  </w:style>
  <w:style w:type="paragraph" w:styleId="866">
    <w:name w:val="toc 4"/>
    <w:basedOn w:val="874"/>
    <w:next w:val="874"/>
    <w:uiPriority w:val="39"/>
    <w:unhideWhenUsed/>
    <w:pPr>
      <w:ind w:left="850" w:right="0" w:firstLine="0"/>
      <w:spacing w:after="57"/>
    </w:pPr>
  </w:style>
  <w:style w:type="paragraph" w:styleId="867">
    <w:name w:val="toc 5"/>
    <w:basedOn w:val="874"/>
    <w:next w:val="874"/>
    <w:uiPriority w:val="39"/>
    <w:unhideWhenUsed/>
    <w:pPr>
      <w:ind w:left="1134" w:right="0" w:firstLine="0"/>
      <w:spacing w:after="57"/>
    </w:pPr>
  </w:style>
  <w:style w:type="paragraph" w:styleId="868">
    <w:name w:val="toc 6"/>
    <w:basedOn w:val="874"/>
    <w:next w:val="874"/>
    <w:uiPriority w:val="39"/>
    <w:unhideWhenUsed/>
    <w:pPr>
      <w:ind w:left="1417" w:right="0" w:firstLine="0"/>
      <w:spacing w:after="57"/>
    </w:pPr>
  </w:style>
  <w:style w:type="paragraph" w:styleId="869">
    <w:name w:val="toc 7"/>
    <w:basedOn w:val="874"/>
    <w:next w:val="874"/>
    <w:uiPriority w:val="39"/>
    <w:unhideWhenUsed/>
    <w:pPr>
      <w:ind w:left="1701" w:right="0" w:firstLine="0"/>
      <w:spacing w:after="57"/>
    </w:pPr>
  </w:style>
  <w:style w:type="paragraph" w:styleId="870">
    <w:name w:val="toc 8"/>
    <w:basedOn w:val="874"/>
    <w:next w:val="874"/>
    <w:uiPriority w:val="39"/>
    <w:unhideWhenUsed/>
    <w:pPr>
      <w:ind w:left="1984" w:right="0" w:firstLine="0"/>
      <w:spacing w:after="57"/>
    </w:pPr>
  </w:style>
  <w:style w:type="paragraph" w:styleId="871">
    <w:name w:val="toc 9"/>
    <w:basedOn w:val="874"/>
    <w:next w:val="874"/>
    <w:uiPriority w:val="39"/>
    <w:unhideWhenUsed/>
    <w:pPr>
      <w:ind w:left="2268" w:right="0" w:firstLine="0"/>
      <w:spacing w:after="57"/>
    </w:pPr>
  </w:style>
  <w:style w:type="paragraph" w:styleId="872">
    <w:name w:val="TOC Heading"/>
    <w:uiPriority w:val="39"/>
    <w:unhideWhenUsed/>
  </w:style>
  <w:style w:type="paragraph" w:styleId="873">
    <w:name w:val="table of figures"/>
    <w:basedOn w:val="874"/>
    <w:next w:val="874"/>
    <w:uiPriority w:val="99"/>
    <w:unhideWhenUsed/>
    <w:pPr>
      <w:spacing w:after="0" w:afterAutospacing="0"/>
    </w:pPr>
  </w:style>
  <w:style w:type="paragraph" w:styleId="874" w:default="1">
    <w:name w:val="Normal"/>
    <w:next w:val="874"/>
    <w:link w:val="874"/>
    <w:qFormat/>
    <w:pPr>
      <w:spacing w:after="200" w:line="276" w:lineRule="auto"/>
    </w:pPr>
    <w:rPr>
      <w:sz w:val="22"/>
      <w:szCs w:val="22"/>
      <w:lang w:val="ru-RU" w:eastAsia="ru-RU" w:bidi="ar-SA"/>
    </w:rPr>
  </w:style>
  <w:style w:type="character" w:styleId="875">
    <w:name w:val="Основной шрифт абзаца"/>
    <w:next w:val="875"/>
    <w:link w:val="874"/>
    <w:uiPriority w:val="1"/>
    <w:semiHidden/>
    <w:unhideWhenUsed/>
  </w:style>
  <w:style w:type="table" w:styleId="876">
    <w:name w:val="Обычная таблица"/>
    <w:next w:val="876"/>
    <w:link w:val="874"/>
    <w:uiPriority w:val="99"/>
    <w:semiHidden/>
    <w:unhideWhenUsed/>
    <w:qFormat/>
    <w:tblPr/>
  </w:style>
  <w:style w:type="numbering" w:styleId="877">
    <w:name w:val="Нет списка"/>
    <w:next w:val="877"/>
    <w:link w:val="874"/>
    <w:uiPriority w:val="99"/>
    <w:semiHidden/>
    <w:unhideWhenUsed/>
  </w:style>
  <w:style w:type="table" w:styleId="878">
    <w:name w:val="Сетка таблицы"/>
    <w:basedOn w:val="876"/>
    <w:next w:val="878"/>
    <w:link w:val="874"/>
    <w:uiPriority w:val="59"/>
    <w:pPr>
      <w:spacing w:after="0" w:line="240" w:lineRule="auto"/>
    </w:pPr>
    <w:tblPr/>
  </w:style>
  <w:style w:type="paragraph" w:styleId="879">
    <w:name w:val="Абзац списка"/>
    <w:basedOn w:val="874"/>
    <w:next w:val="879"/>
    <w:link w:val="874"/>
    <w:uiPriority w:val="34"/>
    <w:qFormat/>
    <w:pPr>
      <w:contextualSpacing/>
      <w:ind w:left="720"/>
    </w:pPr>
  </w:style>
  <w:style w:type="paragraph" w:styleId="880">
    <w:name w:val="ConsPlusNormal"/>
    <w:next w:val="880"/>
    <w:link w:val="874"/>
    <w:pPr>
      <w:widowControl w:val="off"/>
    </w:pPr>
    <w:rPr>
      <w:rFonts w:ascii="Arial" w:hAnsi="Arial" w:cs="Arial"/>
      <w:lang w:val="ru-RU" w:eastAsia="ru-RU" w:bidi="ar-SA"/>
    </w:rPr>
  </w:style>
  <w:style w:type="paragraph" w:styleId="881">
    <w:name w:val="Обычный (веб)"/>
    <w:basedOn w:val="874"/>
    <w:next w:val="881"/>
    <w:link w:val="874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882">
    <w:name w:val="copyright-info"/>
    <w:basedOn w:val="874"/>
    <w:next w:val="882"/>
    <w:link w:val="87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883">
    <w:name w:val="Гиперссылка"/>
    <w:next w:val="883"/>
    <w:link w:val="874"/>
    <w:uiPriority w:val="99"/>
    <w:semiHidden/>
    <w:unhideWhenUsed/>
    <w:rPr>
      <w:color w:val="0000ff"/>
      <w:u w:val="single"/>
    </w:rPr>
  </w:style>
  <w:style w:type="paragraph" w:styleId="884">
    <w:name w:val="Текст выноски"/>
    <w:basedOn w:val="874"/>
    <w:next w:val="884"/>
    <w:link w:val="885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885">
    <w:name w:val="Текст выноски Знак"/>
    <w:next w:val="885"/>
    <w:link w:val="884"/>
    <w:uiPriority w:val="99"/>
    <w:semiHidden/>
    <w:rPr>
      <w:rFonts w:ascii="Segoe UI" w:hAnsi="Segoe UI" w:cs="Segoe UI"/>
      <w:sz w:val="18"/>
      <w:szCs w:val="18"/>
    </w:rPr>
  </w:style>
  <w:style w:type="character" w:styleId="886" w:default="1">
    <w:name w:val="Default Paragraph Font"/>
    <w:uiPriority w:val="1"/>
    <w:semiHidden/>
    <w:unhideWhenUsed/>
  </w:style>
  <w:style w:type="numbering" w:styleId="887" w:default="1">
    <w:name w:val="No List"/>
    <w:uiPriority w:val="99"/>
    <w:semiHidden/>
    <w:unhideWhenUsed/>
  </w:style>
  <w:style w:type="table" w:styleId="888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yperlink" Target="https://gosfinansy.ru/group?groupId=306987&amp;locale=ru&amp;date=2026-01-01&amp;isStatic=false&amp;pubAlias=mcfr-gf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Р7-Офис/2024.2.1.466</Application>
  <Company>Reanimator Extreme Edition</Company>
  <DocSecurity>0</DocSecurity>
  <HyperlinksChanged>false</HyperlinksChanged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revision>19</cp:revision>
  <dcterms:created xsi:type="dcterms:W3CDTF">2023-12-21T08:43:00Z</dcterms:created>
  <dcterms:modified xsi:type="dcterms:W3CDTF">2026-03-30T12:40:16Z</dcterms:modified>
  <cp:version>1048576</cp:version>
</cp:coreProperties>
</file>